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8240" w14:textId="48B064A7" w:rsidR="0081557B" w:rsidRPr="001D35D4" w:rsidRDefault="0081557B" w:rsidP="001D35D4">
      <w:pPr>
        <w:keepNext/>
        <w:keepLines/>
        <w:ind w:left="4395"/>
        <w:jc w:val="right"/>
        <w:rPr>
          <w:rFonts w:ascii="Times New Roman" w:eastAsia="Times New Roman" w:hAnsi="Times New Roman" w:cs="Times New Roman"/>
          <w:color w:val="auto"/>
          <w:kern w:val="2"/>
          <w:lang w:eastAsia="en-US" w:bidi="ar-SA"/>
          <w14:ligatures w14:val="standardContextual"/>
        </w:rPr>
      </w:pPr>
      <w:r w:rsidRPr="001D35D4">
        <w:rPr>
          <w:rFonts w:ascii="Times New Roman" w:eastAsia="Times New Roman" w:hAnsi="Times New Roman" w:cs="Times New Roman"/>
          <w:color w:val="auto"/>
          <w:kern w:val="2"/>
          <w:lang w:eastAsia="en-US" w:bidi="ar-SA"/>
          <w14:ligatures w14:val="standardContextual"/>
        </w:rPr>
        <w:t>Приложение № 1</w:t>
      </w:r>
      <w:r w:rsidR="001477B2" w:rsidRPr="001D35D4">
        <w:rPr>
          <w:rFonts w:ascii="Times New Roman" w:eastAsia="Times New Roman" w:hAnsi="Times New Roman" w:cs="Times New Roman"/>
          <w:color w:val="auto"/>
          <w:kern w:val="2"/>
          <w:lang w:eastAsia="en-US" w:bidi="ar-SA"/>
          <w14:ligatures w14:val="standardContextual"/>
        </w:rPr>
        <w:t>4</w:t>
      </w:r>
    </w:p>
    <w:p w14:paraId="5E1CDE0B" w14:textId="77777777" w:rsidR="0081557B" w:rsidRPr="001D35D4" w:rsidRDefault="0081557B" w:rsidP="001D35D4">
      <w:pPr>
        <w:keepNext/>
        <w:keepLines/>
        <w:ind w:left="4395"/>
        <w:jc w:val="right"/>
        <w:rPr>
          <w:rFonts w:ascii="Times New Roman" w:eastAsia="Times New Roman" w:hAnsi="Times New Roman" w:cs="Times New Roman"/>
          <w:color w:val="auto"/>
          <w:kern w:val="2"/>
          <w:lang w:eastAsia="en-US" w:bidi="ar-SA"/>
          <w14:ligatures w14:val="standardContextual"/>
        </w:rPr>
      </w:pPr>
      <w:r w:rsidRPr="001D35D4">
        <w:rPr>
          <w:rFonts w:ascii="Times New Roman" w:eastAsia="Times New Roman" w:hAnsi="Times New Roman" w:cs="Times New Roman"/>
          <w:color w:val="auto"/>
          <w:kern w:val="2"/>
          <w:lang w:eastAsia="en-US" w:bidi="ar-SA"/>
          <w14:ligatures w14:val="standardContextual"/>
        </w:rPr>
        <w:t xml:space="preserve">к учетной политике ГКУ Республики </w:t>
      </w:r>
    </w:p>
    <w:p w14:paraId="147F2217" w14:textId="77777777" w:rsidR="0081557B" w:rsidRPr="001D35D4" w:rsidRDefault="0081557B" w:rsidP="001D35D4">
      <w:pPr>
        <w:keepNext/>
        <w:keepLines/>
        <w:ind w:left="4395"/>
        <w:jc w:val="right"/>
        <w:rPr>
          <w:rFonts w:ascii="Times New Roman" w:eastAsia="Times New Roman" w:hAnsi="Times New Roman" w:cs="Times New Roman"/>
          <w:color w:val="auto"/>
          <w:kern w:val="2"/>
          <w:lang w:eastAsia="en-US" w:bidi="ar-SA"/>
          <w14:ligatures w14:val="standardContextual"/>
        </w:rPr>
      </w:pPr>
      <w:r w:rsidRPr="001D35D4">
        <w:rPr>
          <w:rFonts w:ascii="Times New Roman" w:eastAsia="Times New Roman" w:hAnsi="Times New Roman" w:cs="Times New Roman"/>
          <w:color w:val="auto"/>
          <w:kern w:val="2"/>
          <w:lang w:eastAsia="en-US" w:bidi="ar-SA"/>
          <w14:ligatures w14:val="standardContextual"/>
        </w:rPr>
        <w:t>Карелия «Госюрбюро РК»</w:t>
      </w:r>
    </w:p>
    <w:p w14:paraId="4038DA4A" w14:textId="6C4B9AE1" w:rsidR="0081557B" w:rsidRPr="001D35D4" w:rsidRDefault="0081557B" w:rsidP="001D35D4">
      <w:pPr>
        <w:jc w:val="right"/>
        <w:rPr>
          <w:rFonts w:ascii="Times New Roman" w:eastAsia="Times New Roman" w:hAnsi="Times New Roman" w:cs="Times New Roman"/>
          <w:color w:val="auto"/>
          <w:kern w:val="2"/>
          <w:lang w:eastAsia="en-US" w:bidi="ar-SA"/>
          <w14:ligatures w14:val="standardContextual"/>
        </w:rPr>
      </w:pPr>
      <w:r w:rsidRPr="001D35D4">
        <w:rPr>
          <w:rFonts w:ascii="Times New Roman" w:eastAsia="Times New Roman" w:hAnsi="Times New Roman" w:cs="Times New Roman"/>
          <w:color w:val="auto"/>
          <w:kern w:val="2"/>
          <w:lang w:eastAsia="en-US" w:bidi="ar-SA"/>
          <w14:ligatures w14:val="standardContextual"/>
        </w:rPr>
        <w:t>Приказ от 30.09.2022 г. № 79</w:t>
      </w:r>
    </w:p>
    <w:p w14:paraId="10F84707" w14:textId="77777777" w:rsidR="0081557B" w:rsidRDefault="0081557B" w:rsidP="0081557B">
      <w:pPr>
        <w:jc w:val="right"/>
        <w:rPr>
          <w:rFonts w:ascii="Times New Roman" w:eastAsia="Times New Roman" w:hAnsi="Times New Roman" w:cs="Times New Roman"/>
          <w:b/>
          <w:bCs/>
          <w:color w:val="auto"/>
          <w:kern w:val="2"/>
          <w:sz w:val="28"/>
          <w:szCs w:val="28"/>
          <w:lang w:eastAsia="en-US" w:bidi="ar-SA"/>
          <w14:ligatures w14:val="standardContextual"/>
        </w:rPr>
      </w:pPr>
    </w:p>
    <w:p w14:paraId="3DAF4842" w14:textId="6BABFDEA" w:rsidR="00C70326" w:rsidRPr="00C567A9" w:rsidRDefault="00C567A9" w:rsidP="00C567A9">
      <w:pPr>
        <w:jc w:val="center"/>
        <w:rPr>
          <w:rFonts w:ascii="Times New Roman" w:eastAsia="Times New Roman" w:hAnsi="Times New Roman" w:cs="Times New Roman"/>
          <w:b/>
          <w:bCs/>
          <w:color w:val="auto"/>
          <w:kern w:val="2"/>
          <w:sz w:val="28"/>
          <w:szCs w:val="28"/>
          <w:lang w:eastAsia="en-US" w:bidi="ar-SA"/>
          <w14:ligatures w14:val="standardContextual"/>
        </w:rPr>
      </w:pPr>
      <w:r w:rsidRPr="00C567A9">
        <w:rPr>
          <w:rFonts w:ascii="Times New Roman" w:eastAsia="Times New Roman" w:hAnsi="Times New Roman" w:cs="Times New Roman"/>
          <w:b/>
          <w:bCs/>
          <w:color w:val="auto"/>
          <w:kern w:val="2"/>
          <w:sz w:val="28"/>
          <w:szCs w:val="28"/>
          <w:lang w:eastAsia="en-US" w:bidi="ar-SA"/>
          <w14:ligatures w14:val="standardContextual"/>
        </w:rPr>
        <w:t>Порядок проведения инвентаризации</w:t>
      </w:r>
    </w:p>
    <w:p w14:paraId="236CAE1C" w14:textId="77777777" w:rsidR="00C567A9" w:rsidRPr="00C567A9" w:rsidRDefault="00C567A9">
      <w:pPr>
        <w:rPr>
          <w:rFonts w:ascii="Times New Roman" w:eastAsia="Times New Roman" w:hAnsi="Times New Roman" w:cs="Times New Roman"/>
          <w:b/>
          <w:bCs/>
          <w:color w:val="auto"/>
          <w:kern w:val="2"/>
          <w:sz w:val="28"/>
          <w:szCs w:val="28"/>
          <w:lang w:eastAsia="en-US" w:bidi="ar-SA"/>
          <w14:ligatures w14:val="standardContextual"/>
        </w:rPr>
      </w:pPr>
    </w:p>
    <w:p w14:paraId="57FAB1FB" w14:textId="77777777" w:rsidR="00C567A9" w:rsidRDefault="00C567A9" w:rsidP="0081557B">
      <w:pPr>
        <w:pStyle w:val="20"/>
        <w:numPr>
          <w:ilvl w:val="0"/>
          <w:numId w:val="2"/>
        </w:numPr>
        <w:shd w:val="clear" w:color="auto" w:fill="auto"/>
        <w:spacing w:after="0" w:line="320" w:lineRule="exact"/>
        <w:ind w:right="-1" w:firstLine="0"/>
        <w:jc w:val="both"/>
      </w:pPr>
      <w:r>
        <w:t>Инвентаризация с целью выявления фактического наличия имущества, сопоставления с данными учета и проверки полноты и корректности отражения в учете обязательств осуществляется в соответствии Федеральным законом от 6 декабря 2011 года №402-ФЗ «О бухгалтерском учете», приказами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 157н), от 6 декабря 2010 года №162н «Об утверждении Плана счетов бюджетного учета и Инструкции по его применению», от 28 декабря 2010 года №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от 13 июня 1995 г. № 49 «Об утверждении методических указаний по инвентаризации имущества и финансовых обязательств»,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14:paraId="478ADC00" w14:textId="77777777" w:rsidR="00C567A9" w:rsidRDefault="00C567A9" w:rsidP="0081557B">
      <w:pPr>
        <w:pStyle w:val="20"/>
        <w:numPr>
          <w:ilvl w:val="0"/>
          <w:numId w:val="2"/>
        </w:numPr>
        <w:shd w:val="clear" w:color="auto" w:fill="auto"/>
        <w:tabs>
          <w:tab w:val="left" w:pos="709"/>
        </w:tabs>
        <w:spacing w:after="0" w:line="320" w:lineRule="exact"/>
        <w:ind w:right="-1" w:firstLine="0"/>
        <w:jc w:val="both"/>
      </w:pPr>
      <w:r>
        <w:t>Инвентаризация имущества и обязательств (в т. ч. числящихся на забалансовых счетах) проводится раз в год перед составлением годовой отчетности, а также в иных случаях, предусмотренных законодательством Российской Федерации. Инвентаризации проводит постоянно действующая инвентаризационная комиссия Госюрбюро.</w:t>
      </w:r>
    </w:p>
    <w:p w14:paraId="3526C278" w14:textId="77777777" w:rsidR="00C567A9" w:rsidRDefault="00C567A9" w:rsidP="0081557B">
      <w:pPr>
        <w:pStyle w:val="20"/>
        <w:shd w:val="clear" w:color="auto" w:fill="auto"/>
        <w:spacing w:after="0" w:line="320" w:lineRule="exact"/>
        <w:ind w:right="-1" w:firstLine="580"/>
        <w:jc w:val="both"/>
        <w:sectPr w:rsidR="00C567A9" w:rsidSect="0081557B">
          <w:headerReference w:type="even" r:id="rId7"/>
          <w:pgSz w:w="11900" w:h="16840"/>
          <w:pgMar w:top="1276" w:right="985" w:bottom="2031" w:left="1276" w:header="0" w:footer="3" w:gutter="0"/>
          <w:pgNumType w:start="6"/>
          <w:cols w:space="720"/>
          <w:noEndnote/>
          <w:docGrid w:linePitch="360"/>
        </w:sectPr>
      </w:pPr>
      <w:r>
        <w:t>Внеплановые инвентаризации проводятся при смене материально ответственных лиц, руководителя (на день приемки-передачи дел), при установлении фактов хищений или злоупотреблений, а также при порче имущества, стихийных бедствиях, пожарах, аварии или других чрезвычайных происшествиях, в том числе вызванных экстремальными условиями (п. 1.5 Приказа 49, п. 332 Инструкции 157н).</w:t>
      </w:r>
    </w:p>
    <w:p w14:paraId="29ED8B37" w14:textId="77777777" w:rsidR="00C567A9" w:rsidRDefault="00C567A9" w:rsidP="0081557B">
      <w:pPr>
        <w:pStyle w:val="20"/>
        <w:numPr>
          <w:ilvl w:val="0"/>
          <w:numId w:val="2"/>
        </w:numPr>
        <w:shd w:val="clear" w:color="auto" w:fill="auto"/>
        <w:tabs>
          <w:tab w:val="left" w:pos="709"/>
        </w:tabs>
        <w:spacing w:after="0" w:line="320" w:lineRule="exact"/>
        <w:ind w:right="-1" w:firstLine="0"/>
        <w:jc w:val="both"/>
      </w:pPr>
      <w:r>
        <w:lastRenderedPageBreak/>
        <w:t>Инвентаризация имущества и обязательств проводится по соглашениям, контрактам (договорам), первичным учетным документам, выпискам казначейства, актам сверки расчетов с дебиторами и кредиторами.</w:t>
      </w:r>
    </w:p>
    <w:p w14:paraId="1D5E009B" w14:textId="61DE5847" w:rsidR="00C567A9" w:rsidRDefault="00C567A9" w:rsidP="0081557B">
      <w:pPr>
        <w:pStyle w:val="20"/>
        <w:shd w:val="clear" w:color="auto" w:fill="auto"/>
        <w:tabs>
          <w:tab w:val="left" w:pos="709"/>
        </w:tabs>
        <w:spacing w:after="0" w:line="320" w:lineRule="exact"/>
        <w:ind w:right="-1" w:firstLine="709"/>
        <w:jc w:val="both"/>
      </w:pPr>
      <w:r>
        <w:t>Инвентаризационная комиссия, проведя документальную проверку по каждому контрагенту:</w:t>
      </w:r>
    </w:p>
    <w:p w14:paraId="3A49F7AD" w14:textId="77777777" w:rsidR="00C567A9" w:rsidRDefault="00C567A9" w:rsidP="0081557B">
      <w:pPr>
        <w:pStyle w:val="20"/>
        <w:numPr>
          <w:ilvl w:val="0"/>
          <w:numId w:val="1"/>
        </w:numPr>
        <w:shd w:val="clear" w:color="auto" w:fill="auto"/>
        <w:tabs>
          <w:tab w:val="left" w:pos="1512"/>
        </w:tabs>
        <w:spacing w:after="0" w:line="320" w:lineRule="exact"/>
        <w:ind w:left="720" w:right="-1" w:firstLine="580"/>
        <w:jc w:val="both"/>
      </w:pPr>
      <w:r>
        <w:t>устанавливает сроки возникновения дебиторской задолженности;</w:t>
      </w:r>
    </w:p>
    <w:p w14:paraId="42AF789F" w14:textId="77777777" w:rsidR="00C567A9" w:rsidRDefault="00C567A9" w:rsidP="0081557B">
      <w:pPr>
        <w:pStyle w:val="20"/>
        <w:numPr>
          <w:ilvl w:val="0"/>
          <w:numId w:val="1"/>
        </w:numPr>
        <w:shd w:val="clear" w:color="auto" w:fill="auto"/>
        <w:tabs>
          <w:tab w:val="left" w:pos="1512"/>
        </w:tabs>
        <w:spacing w:after="0" w:line="320" w:lineRule="exact"/>
        <w:ind w:left="720" w:right="-1" w:firstLine="580"/>
        <w:jc w:val="both"/>
      </w:pPr>
      <w:r>
        <w:t>определяет задолженность с истекшим сроком исковой давности;</w:t>
      </w:r>
    </w:p>
    <w:p w14:paraId="60B33E42" w14:textId="39262172" w:rsidR="00C567A9" w:rsidRDefault="00C567A9" w:rsidP="0081557B">
      <w:pPr>
        <w:pStyle w:val="20"/>
        <w:numPr>
          <w:ilvl w:val="0"/>
          <w:numId w:val="1"/>
        </w:numPr>
        <w:shd w:val="clear" w:color="auto" w:fill="auto"/>
        <w:tabs>
          <w:tab w:val="left" w:pos="1494"/>
        </w:tabs>
        <w:spacing w:after="0" w:line="320" w:lineRule="exact"/>
        <w:ind w:right="-1" w:firstLine="1276"/>
        <w:jc w:val="both"/>
      </w:pPr>
      <w:r>
        <w:t>определяет</w:t>
      </w:r>
      <w:r w:rsidR="0081557B">
        <w:t xml:space="preserve"> </w:t>
      </w:r>
      <w:r>
        <w:t>правильность и обоснованность числящихся в бюджетном учете сумм задолженности.</w:t>
      </w:r>
    </w:p>
    <w:p w14:paraId="5768434A" w14:textId="0BB4E81C" w:rsidR="00C567A9" w:rsidRDefault="00C567A9" w:rsidP="0081557B">
      <w:pPr>
        <w:pStyle w:val="20"/>
        <w:shd w:val="clear" w:color="auto" w:fill="auto"/>
        <w:spacing w:after="0" w:line="320" w:lineRule="exact"/>
        <w:ind w:right="-1" w:firstLine="580"/>
        <w:jc w:val="both"/>
      </w:pPr>
      <w:r>
        <w:t>При проведении инвентаризации используются данные аналитического учета, первичные документы, для подтверждения существования задолженности и ее суммы - акты сверки расчетов,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Акт сверки составляют на основе первичных документов (товарных накладных, платежных поручений, актов оказания услуг, выполненных работ, документов о приемке, универсальных передаточных документов).</w:t>
      </w:r>
    </w:p>
    <w:p w14:paraId="55EA5B80" w14:textId="77777777" w:rsidR="00C567A9" w:rsidRDefault="00C567A9" w:rsidP="0081557B">
      <w:pPr>
        <w:pStyle w:val="20"/>
        <w:shd w:val="clear" w:color="auto" w:fill="auto"/>
        <w:spacing w:after="0" w:line="320" w:lineRule="exact"/>
        <w:ind w:right="-1" w:firstLine="580"/>
        <w:jc w:val="both"/>
      </w:pPr>
      <w:r>
        <w:t>Работа учреждения по взысканию (возврату) дебиторской задолженности может быть организована как в досудебном, так и в судебном (путем направления иска в суд) порядке.</w:t>
      </w:r>
    </w:p>
    <w:p w14:paraId="1AC533BD" w14:textId="7CA54B25" w:rsidR="00C567A9" w:rsidRDefault="00C567A9" w:rsidP="0081557B">
      <w:pPr>
        <w:pStyle w:val="20"/>
        <w:shd w:val="clear" w:color="auto" w:fill="auto"/>
        <w:spacing w:after="0" w:line="320" w:lineRule="exact"/>
        <w:ind w:right="-1" w:firstLine="580"/>
        <w:jc w:val="both"/>
      </w:pPr>
      <w:r>
        <w:t xml:space="preserve">Досудебные мероприятия </w:t>
      </w:r>
      <w:r w:rsidR="0081557B">
        <w:t>подразумевают</w:t>
      </w:r>
      <w:r>
        <w:t xml:space="preserve"> проведение переговоров с должниками, направление им писем, обращений, составление актов сверок, предъявление претензий.</w:t>
      </w:r>
    </w:p>
    <w:p w14:paraId="1A5EA544" w14:textId="77777777" w:rsidR="00C567A9" w:rsidRDefault="00C567A9" w:rsidP="0081557B">
      <w:pPr>
        <w:pStyle w:val="20"/>
        <w:numPr>
          <w:ilvl w:val="0"/>
          <w:numId w:val="2"/>
        </w:numPr>
        <w:shd w:val="clear" w:color="auto" w:fill="auto"/>
        <w:tabs>
          <w:tab w:val="left" w:pos="567"/>
        </w:tabs>
        <w:spacing w:after="0" w:line="320" w:lineRule="exact"/>
        <w:ind w:right="-1" w:firstLine="0"/>
        <w:jc w:val="both"/>
      </w:pPr>
      <w:r>
        <w:t>Инвентаризация расходов будущих периодов проводится перед составлением годовой бухгалтерской (финансовой) отчетности. При инвентаризации расходов будущих периодов инвентаризационная комиссия проверяет сумму понесенных расходов и период, к которому они относятся на основании подтверждающих документов.</w:t>
      </w:r>
    </w:p>
    <w:p w14:paraId="3BF6DFBF" w14:textId="77777777" w:rsidR="00C567A9" w:rsidRDefault="00C567A9" w:rsidP="0081557B">
      <w:pPr>
        <w:pStyle w:val="20"/>
        <w:numPr>
          <w:ilvl w:val="0"/>
          <w:numId w:val="2"/>
        </w:numPr>
        <w:shd w:val="clear" w:color="auto" w:fill="auto"/>
        <w:tabs>
          <w:tab w:val="left" w:pos="567"/>
        </w:tabs>
        <w:spacing w:after="0" w:line="320" w:lineRule="exact"/>
        <w:ind w:firstLine="0"/>
        <w:jc w:val="both"/>
      </w:pPr>
      <w:r>
        <w:t>При инвентаризации доходов будущих периодов инвентаризационная комиссия проверяет правомерность отнесения полученных доходов к доходам будущих периодов, правильность формирования оценки доходов будущих периодов, обоснованность наличия остатков (перед годовой отчетностью), полноту и своевременность их отражения в учете.</w:t>
      </w:r>
    </w:p>
    <w:p w14:paraId="08F26527" w14:textId="3E57BF2B" w:rsidR="00C567A9" w:rsidRDefault="00C567A9" w:rsidP="0081557B">
      <w:pPr>
        <w:pStyle w:val="20"/>
        <w:numPr>
          <w:ilvl w:val="0"/>
          <w:numId w:val="2"/>
        </w:numPr>
        <w:shd w:val="clear" w:color="auto" w:fill="auto"/>
        <w:spacing w:after="0" w:line="320" w:lineRule="exact"/>
        <w:ind w:firstLine="0"/>
        <w:jc w:val="both"/>
      </w:pPr>
      <w:r>
        <w:t>При инвентаризации доходов будущих периодов, расходов будущих периодов комиссия методом сплошной проверки проверяет суммы доходов (расходов) из документов, подтверждающих доходы (расходы) будущих периодов и правильность сумм, списываемых на расходы текущего года.</w:t>
      </w:r>
    </w:p>
    <w:p w14:paraId="561F3693" w14:textId="77777777" w:rsidR="00C567A9" w:rsidRDefault="00C567A9" w:rsidP="0081557B">
      <w:pPr>
        <w:pStyle w:val="20"/>
        <w:numPr>
          <w:ilvl w:val="0"/>
          <w:numId w:val="2"/>
        </w:numPr>
        <w:shd w:val="clear" w:color="auto" w:fill="auto"/>
        <w:tabs>
          <w:tab w:val="left" w:pos="709"/>
        </w:tabs>
        <w:spacing w:after="0" w:line="320" w:lineRule="exact"/>
        <w:ind w:firstLine="0"/>
        <w:jc w:val="both"/>
      </w:pPr>
      <w:r>
        <w:t>Инвентаризация резервов предстоящих расходов проводится перед составлением годовой бухгалтерской (финансовой) отчетности. При инвентаризации резервов предстоящих расходов инвентаризационная комиссия проверяет правильность и обоснованность их создания.</w:t>
      </w:r>
    </w:p>
    <w:p w14:paraId="067D8218" w14:textId="77777777" w:rsidR="00C567A9" w:rsidRDefault="00C567A9" w:rsidP="0081557B">
      <w:pPr>
        <w:pStyle w:val="20"/>
        <w:numPr>
          <w:ilvl w:val="0"/>
          <w:numId w:val="2"/>
        </w:numPr>
        <w:shd w:val="clear" w:color="auto" w:fill="auto"/>
        <w:tabs>
          <w:tab w:val="left" w:pos="709"/>
        </w:tabs>
        <w:spacing w:after="0" w:line="320" w:lineRule="exact"/>
        <w:ind w:firstLine="0"/>
        <w:jc w:val="both"/>
      </w:pPr>
      <w:r>
        <w:t>При инвентаризации нематериальных активов инвентаризационная комиссия проверяет наличие документов, подтверждающих права использования, правильность и своевременность отражения нематериальных активов в бухгалтерском учете.</w:t>
      </w:r>
    </w:p>
    <w:p w14:paraId="17F47A49" w14:textId="77777777" w:rsidR="00C567A9" w:rsidRDefault="00C567A9" w:rsidP="0081557B">
      <w:pPr>
        <w:pStyle w:val="20"/>
        <w:numPr>
          <w:ilvl w:val="0"/>
          <w:numId w:val="2"/>
        </w:numPr>
        <w:shd w:val="clear" w:color="auto" w:fill="auto"/>
        <w:tabs>
          <w:tab w:val="left" w:pos="709"/>
        </w:tabs>
        <w:spacing w:after="0" w:line="320" w:lineRule="exact"/>
        <w:ind w:firstLine="0"/>
        <w:jc w:val="both"/>
      </w:pPr>
      <w:r>
        <w:lastRenderedPageBreak/>
        <w:t>Инвентаризация денежных документов и бланков строгой отчетности производится методом полного (полистного) пересчета их фактического наличия.</w:t>
      </w:r>
    </w:p>
    <w:p w14:paraId="1903F267" w14:textId="77777777" w:rsidR="00C567A9" w:rsidRDefault="00C567A9" w:rsidP="0081557B">
      <w:pPr>
        <w:pStyle w:val="20"/>
        <w:numPr>
          <w:ilvl w:val="0"/>
          <w:numId w:val="2"/>
        </w:numPr>
        <w:shd w:val="clear" w:color="auto" w:fill="auto"/>
        <w:tabs>
          <w:tab w:val="left" w:pos="709"/>
        </w:tabs>
        <w:spacing w:after="0" w:line="320" w:lineRule="exact"/>
        <w:ind w:firstLine="0"/>
        <w:jc w:val="both"/>
      </w:pPr>
      <w:r>
        <w:t>При составлении инвентаризационной описи (сличительной ведомости) по объектам нефинансовых активов (ф. 0504087) используются следующие коды:</w:t>
      </w:r>
    </w:p>
    <w:tbl>
      <w:tblPr>
        <w:tblpPr w:leftFromText="180" w:rightFromText="180" w:vertAnchor="text" w:horzAnchor="margin" w:tblpXSpec="center" w:tblpY="144"/>
        <w:tblOverlap w:val="never"/>
        <w:tblW w:w="0" w:type="auto"/>
        <w:tblLayout w:type="fixed"/>
        <w:tblCellMar>
          <w:left w:w="10" w:type="dxa"/>
          <w:right w:w="10" w:type="dxa"/>
        </w:tblCellMar>
        <w:tblLook w:val="04A0" w:firstRow="1" w:lastRow="0" w:firstColumn="1" w:lastColumn="0" w:noHBand="0" w:noVBand="1"/>
      </w:tblPr>
      <w:tblGrid>
        <w:gridCol w:w="1091"/>
        <w:gridCol w:w="8064"/>
      </w:tblGrid>
      <w:tr w:rsidR="00C567A9" w14:paraId="3D9B1A56" w14:textId="77777777" w:rsidTr="004E211A">
        <w:trPr>
          <w:trHeight w:hRule="exact" w:val="1303"/>
        </w:trPr>
        <w:tc>
          <w:tcPr>
            <w:tcW w:w="9155" w:type="dxa"/>
            <w:gridSpan w:val="2"/>
            <w:tcBorders>
              <w:top w:val="single" w:sz="4" w:space="0" w:color="auto"/>
              <w:left w:val="single" w:sz="4" w:space="0" w:color="auto"/>
              <w:right w:val="single" w:sz="4" w:space="0" w:color="auto"/>
            </w:tcBorders>
            <w:shd w:val="clear" w:color="auto" w:fill="FFFFFF"/>
            <w:vAlign w:val="center"/>
          </w:tcPr>
          <w:p w14:paraId="47770F84" w14:textId="77777777" w:rsidR="00C567A9" w:rsidRDefault="00C567A9" w:rsidP="004E211A">
            <w:pPr>
              <w:pStyle w:val="20"/>
              <w:shd w:val="clear" w:color="auto" w:fill="auto"/>
              <w:spacing w:after="0" w:line="324" w:lineRule="exact"/>
              <w:ind w:firstLine="0"/>
            </w:pPr>
            <w:r>
              <w:t>В графе 8 указывается информация о состоянии объекта имущества на дату инвентаризации с учетом оценки его технического состояния и (или) степени вовлеченности в хозяйственный оборот</w:t>
            </w:r>
          </w:p>
        </w:tc>
      </w:tr>
      <w:tr w:rsidR="00C567A9" w14:paraId="4DD36A92"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024E37DA" w14:textId="77777777" w:rsidR="00C567A9" w:rsidRDefault="00C567A9" w:rsidP="004E211A">
            <w:pPr>
              <w:pStyle w:val="20"/>
              <w:shd w:val="clear" w:color="auto" w:fill="auto"/>
              <w:spacing w:after="0" w:line="280" w:lineRule="exact"/>
              <w:ind w:left="320" w:firstLine="0"/>
              <w:jc w:val="left"/>
            </w:pPr>
            <w:r>
              <w:rPr>
                <w:rStyle w:val="24"/>
              </w:rPr>
              <w:t>Код</w:t>
            </w:r>
          </w:p>
        </w:tc>
        <w:tc>
          <w:tcPr>
            <w:tcW w:w="8064" w:type="dxa"/>
            <w:tcBorders>
              <w:top w:val="single" w:sz="4" w:space="0" w:color="auto"/>
              <w:left w:val="single" w:sz="4" w:space="0" w:color="auto"/>
              <w:right w:val="single" w:sz="4" w:space="0" w:color="auto"/>
            </w:tcBorders>
            <w:shd w:val="clear" w:color="auto" w:fill="FFFFFF"/>
            <w:vAlign w:val="center"/>
          </w:tcPr>
          <w:p w14:paraId="0DC15B2C" w14:textId="77777777" w:rsidR="00C567A9" w:rsidRDefault="00C567A9" w:rsidP="004E211A">
            <w:pPr>
              <w:pStyle w:val="20"/>
              <w:shd w:val="clear" w:color="auto" w:fill="auto"/>
              <w:spacing w:after="0" w:line="280" w:lineRule="exact"/>
              <w:ind w:firstLine="0"/>
            </w:pPr>
            <w:r>
              <w:rPr>
                <w:rStyle w:val="24"/>
              </w:rPr>
              <w:t>Описание кода</w:t>
            </w:r>
          </w:p>
        </w:tc>
      </w:tr>
      <w:tr w:rsidR="00C567A9" w14:paraId="672F184F" w14:textId="77777777" w:rsidTr="004E211A">
        <w:trPr>
          <w:trHeight w:hRule="exact" w:val="605"/>
        </w:trPr>
        <w:tc>
          <w:tcPr>
            <w:tcW w:w="9155" w:type="dxa"/>
            <w:gridSpan w:val="2"/>
            <w:tcBorders>
              <w:top w:val="single" w:sz="4" w:space="0" w:color="auto"/>
              <w:left w:val="single" w:sz="4" w:space="0" w:color="auto"/>
              <w:right w:val="single" w:sz="4" w:space="0" w:color="auto"/>
            </w:tcBorders>
            <w:shd w:val="clear" w:color="auto" w:fill="FFFFFF"/>
            <w:vAlign w:val="center"/>
          </w:tcPr>
          <w:p w14:paraId="42AC4DBD" w14:textId="77777777" w:rsidR="00C567A9" w:rsidRDefault="00C567A9" w:rsidP="004E211A">
            <w:pPr>
              <w:pStyle w:val="20"/>
              <w:shd w:val="clear" w:color="auto" w:fill="auto"/>
              <w:spacing w:after="0" w:line="280" w:lineRule="exact"/>
              <w:ind w:firstLine="0"/>
            </w:pPr>
            <w:r>
              <w:rPr>
                <w:rStyle w:val="24"/>
              </w:rPr>
              <w:t>Для объектов основных средств</w:t>
            </w:r>
          </w:p>
        </w:tc>
      </w:tr>
      <w:tr w:rsidR="00C567A9" w14:paraId="536DD36A"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14C487F0" w14:textId="77777777" w:rsidR="00C567A9" w:rsidRDefault="00C567A9" w:rsidP="004E211A">
            <w:pPr>
              <w:pStyle w:val="20"/>
              <w:shd w:val="clear" w:color="auto" w:fill="auto"/>
              <w:spacing w:after="0" w:line="340" w:lineRule="exact"/>
              <w:ind w:left="320" w:firstLine="0"/>
              <w:jc w:val="left"/>
            </w:pPr>
            <w:r>
              <w:rPr>
                <w:rStyle w:val="2Cambria17pt0pt"/>
              </w:rPr>
              <w:t>«Э»</w:t>
            </w:r>
          </w:p>
        </w:tc>
        <w:tc>
          <w:tcPr>
            <w:tcW w:w="8064" w:type="dxa"/>
            <w:tcBorders>
              <w:top w:val="single" w:sz="4" w:space="0" w:color="auto"/>
              <w:left w:val="single" w:sz="4" w:space="0" w:color="auto"/>
              <w:right w:val="single" w:sz="4" w:space="0" w:color="auto"/>
            </w:tcBorders>
            <w:shd w:val="clear" w:color="auto" w:fill="FFFFFF"/>
            <w:vAlign w:val="center"/>
          </w:tcPr>
          <w:p w14:paraId="529FB19E" w14:textId="77777777" w:rsidR="00C567A9" w:rsidRDefault="00C567A9" w:rsidP="004E211A">
            <w:pPr>
              <w:pStyle w:val="20"/>
              <w:shd w:val="clear" w:color="auto" w:fill="auto"/>
              <w:spacing w:after="0" w:line="280" w:lineRule="exact"/>
              <w:ind w:left="160" w:firstLine="0"/>
              <w:jc w:val="left"/>
            </w:pPr>
            <w:r>
              <w:t>В эксплуатации</w:t>
            </w:r>
          </w:p>
        </w:tc>
      </w:tr>
      <w:tr w:rsidR="00C567A9" w14:paraId="6B21968F"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37545B41" w14:textId="77777777" w:rsidR="00C567A9" w:rsidRDefault="00C567A9" w:rsidP="004E211A">
            <w:pPr>
              <w:pStyle w:val="20"/>
              <w:shd w:val="clear" w:color="auto" w:fill="auto"/>
              <w:spacing w:after="0" w:line="280" w:lineRule="exact"/>
              <w:ind w:left="320" w:firstLine="0"/>
              <w:jc w:val="left"/>
            </w:pPr>
            <w:r>
              <w:rPr>
                <w:rStyle w:val="24"/>
              </w:rPr>
              <w:t>«Р»</w:t>
            </w:r>
          </w:p>
        </w:tc>
        <w:tc>
          <w:tcPr>
            <w:tcW w:w="8064" w:type="dxa"/>
            <w:tcBorders>
              <w:top w:val="single" w:sz="4" w:space="0" w:color="auto"/>
              <w:left w:val="single" w:sz="4" w:space="0" w:color="auto"/>
              <w:right w:val="single" w:sz="4" w:space="0" w:color="auto"/>
            </w:tcBorders>
            <w:shd w:val="clear" w:color="auto" w:fill="FFFFFF"/>
            <w:vAlign w:val="center"/>
          </w:tcPr>
          <w:p w14:paraId="3A3DACF9" w14:textId="77777777" w:rsidR="00C567A9" w:rsidRDefault="00C567A9" w:rsidP="004E211A">
            <w:pPr>
              <w:pStyle w:val="20"/>
              <w:shd w:val="clear" w:color="auto" w:fill="auto"/>
              <w:spacing w:after="0" w:line="280" w:lineRule="exact"/>
              <w:ind w:left="160" w:firstLine="0"/>
              <w:jc w:val="left"/>
            </w:pPr>
            <w:r>
              <w:t>Требуется ремонт</w:t>
            </w:r>
          </w:p>
        </w:tc>
      </w:tr>
      <w:tr w:rsidR="00C567A9" w14:paraId="23CB1082" w14:textId="77777777" w:rsidTr="004E211A">
        <w:trPr>
          <w:trHeight w:hRule="exact" w:val="605"/>
        </w:trPr>
        <w:tc>
          <w:tcPr>
            <w:tcW w:w="1091" w:type="dxa"/>
            <w:tcBorders>
              <w:top w:val="single" w:sz="4" w:space="0" w:color="auto"/>
              <w:left w:val="single" w:sz="4" w:space="0" w:color="auto"/>
            </w:tcBorders>
            <w:shd w:val="clear" w:color="auto" w:fill="FFFFFF"/>
            <w:vAlign w:val="center"/>
          </w:tcPr>
          <w:p w14:paraId="0299DE72" w14:textId="77777777" w:rsidR="00C567A9" w:rsidRDefault="00C567A9" w:rsidP="004E211A">
            <w:pPr>
              <w:pStyle w:val="20"/>
              <w:shd w:val="clear" w:color="auto" w:fill="auto"/>
              <w:spacing w:after="0" w:line="280" w:lineRule="exact"/>
              <w:ind w:left="320" w:firstLine="0"/>
              <w:jc w:val="left"/>
            </w:pPr>
            <w:r>
              <w:rPr>
                <w:rStyle w:val="24"/>
              </w:rPr>
              <w:t>«К»</w:t>
            </w:r>
          </w:p>
        </w:tc>
        <w:tc>
          <w:tcPr>
            <w:tcW w:w="8064" w:type="dxa"/>
            <w:tcBorders>
              <w:top w:val="single" w:sz="4" w:space="0" w:color="auto"/>
              <w:left w:val="single" w:sz="4" w:space="0" w:color="auto"/>
              <w:right w:val="single" w:sz="4" w:space="0" w:color="auto"/>
            </w:tcBorders>
            <w:shd w:val="clear" w:color="auto" w:fill="FFFFFF"/>
            <w:vAlign w:val="center"/>
          </w:tcPr>
          <w:p w14:paraId="63F75D81" w14:textId="77777777" w:rsidR="00C567A9" w:rsidRDefault="00C567A9" w:rsidP="004E211A">
            <w:pPr>
              <w:pStyle w:val="20"/>
              <w:shd w:val="clear" w:color="auto" w:fill="auto"/>
              <w:spacing w:after="0" w:line="280" w:lineRule="exact"/>
              <w:ind w:left="160" w:firstLine="0"/>
              <w:jc w:val="left"/>
            </w:pPr>
            <w:r>
              <w:t>Находится на консервации</w:t>
            </w:r>
          </w:p>
        </w:tc>
      </w:tr>
      <w:tr w:rsidR="00C567A9" w14:paraId="362161AA"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40451242" w14:textId="77777777" w:rsidR="00C567A9" w:rsidRDefault="00C567A9" w:rsidP="004E211A">
            <w:pPr>
              <w:pStyle w:val="20"/>
              <w:shd w:val="clear" w:color="auto" w:fill="auto"/>
              <w:spacing w:after="0" w:line="340" w:lineRule="exact"/>
              <w:ind w:left="220" w:firstLine="0"/>
              <w:jc w:val="left"/>
            </w:pPr>
            <w:r>
              <w:rPr>
                <w:rStyle w:val="2Cambria17pt0pt"/>
              </w:rPr>
              <w:t>«</w:t>
            </w:r>
            <w:proofErr w:type="spellStart"/>
            <w:r>
              <w:rPr>
                <w:rStyle w:val="2Cambria17pt0pt"/>
              </w:rPr>
              <w:t>нв</w:t>
            </w:r>
            <w:proofErr w:type="spellEnd"/>
            <w:r>
              <w:rPr>
                <w:rStyle w:val="2Cambria17pt0pt"/>
              </w:rPr>
              <w:t>»</w:t>
            </w:r>
          </w:p>
        </w:tc>
        <w:tc>
          <w:tcPr>
            <w:tcW w:w="8064" w:type="dxa"/>
            <w:tcBorders>
              <w:top w:val="single" w:sz="4" w:space="0" w:color="auto"/>
              <w:left w:val="single" w:sz="4" w:space="0" w:color="auto"/>
              <w:right w:val="single" w:sz="4" w:space="0" w:color="auto"/>
            </w:tcBorders>
            <w:shd w:val="clear" w:color="auto" w:fill="FFFFFF"/>
            <w:vAlign w:val="center"/>
          </w:tcPr>
          <w:p w14:paraId="34DA4F4F" w14:textId="77777777" w:rsidR="00C567A9" w:rsidRDefault="00C567A9" w:rsidP="004E211A">
            <w:pPr>
              <w:pStyle w:val="20"/>
              <w:shd w:val="clear" w:color="auto" w:fill="auto"/>
              <w:spacing w:after="0" w:line="280" w:lineRule="exact"/>
              <w:ind w:left="160" w:firstLine="0"/>
              <w:jc w:val="left"/>
            </w:pPr>
            <w:r>
              <w:t>Не введен в эксплуатацию</w:t>
            </w:r>
          </w:p>
        </w:tc>
      </w:tr>
      <w:tr w:rsidR="00C567A9" w14:paraId="2AE2283A"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39AC9A0A" w14:textId="77777777" w:rsidR="00C567A9" w:rsidRDefault="00C567A9" w:rsidP="004E211A">
            <w:pPr>
              <w:pStyle w:val="20"/>
              <w:shd w:val="clear" w:color="auto" w:fill="auto"/>
              <w:spacing w:after="0" w:line="340" w:lineRule="exact"/>
              <w:ind w:left="220" w:firstLine="0"/>
              <w:jc w:val="left"/>
            </w:pPr>
            <w:r>
              <w:rPr>
                <w:rStyle w:val="2Cambria17pt0pt"/>
              </w:rPr>
              <w:t>«</w:t>
            </w:r>
            <w:proofErr w:type="spellStart"/>
            <w:r>
              <w:rPr>
                <w:rStyle w:val="2Cambria17pt0pt"/>
              </w:rPr>
              <w:t>нт</w:t>
            </w:r>
            <w:proofErr w:type="spellEnd"/>
            <w:r>
              <w:rPr>
                <w:rStyle w:val="2Cambria17pt0pt"/>
              </w:rPr>
              <w:t>»</w:t>
            </w:r>
          </w:p>
        </w:tc>
        <w:tc>
          <w:tcPr>
            <w:tcW w:w="8064" w:type="dxa"/>
            <w:tcBorders>
              <w:top w:val="single" w:sz="4" w:space="0" w:color="auto"/>
              <w:left w:val="single" w:sz="4" w:space="0" w:color="auto"/>
              <w:right w:val="single" w:sz="4" w:space="0" w:color="auto"/>
            </w:tcBorders>
            <w:shd w:val="clear" w:color="auto" w:fill="FFFFFF"/>
            <w:vAlign w:val="center"/>
          </w:tcPr>
          <w:p w14:paraId="2D9E3EF6" w14:textId="77777777" w:rsidR="00C567A9" w:rsidRDefault="00C567A9" w:rsidP="004E211A">
            <w:pPr>
              <w:pStyle w:val="20"/>
              <w:shd w:val="clear" w:color="auto" w:fill="auto"/>
              <w:spacing w:after="0" w:line="280" w:lineRule="exact"/>
              <w:ind w:left="160" w:firstLine="0"/>
              <w:jc w:val="left"/>
            </w:pPr>
            <w:r>
              <w:t>Не соответствует требованиям эксплуатации</w:t>
            </w:r>
          </w:p>
        </w:tc>
      </w:tr>
      <w:tr w:rsidR="00C567A9" w14:paraId="1F2DEB1B" w14:textId="77777777" w:rsidTr="004E211A">
        <w:trPr>
          <w:trHeight w:hRule="exact" w:val="601"/>
        </w:trPr>
        <w:tc>
          <w:tcPr>
            <w:tcW w:w="9155" w:type="dxa"/>
            <w:gridSpan w:val="2"/>
            <w:tcBorders>
              <w:top w:val="single" w:sz="4" w:space="0" w:color="auto"/>
              <w:left w:val="single" w:sz="4" w:space="0" w:color="auto"/>
              <w:right w:val="single" w:sz="4" w:space="0" w:color="auto"/>
            </w:tcBorders>
            <w:shd w:val="clear" w:color="auto" w:fill="FFFFFF"/>
            <w:vAlign w:val="center"/>
          </w:tcPr>
          <w:p w14:paraId="412E1023" w14:textId="77777777" w:rsidR="00C567A9" w:rsidRDefault="00C567A9" w:rsidP="004E211A">
            <w:pPr>
              <w:pStyle w:val="20"/>
              <w:shd w:val="clear" w:color="auto" w:fill="auto"/>
              <w:spacing w:after="0" w:line="280" w:lineRule="exact"/>
              <w:ind w:firstLine="0"/>
            </w:pPr>
            <w:r>
              <w:rPr>
                <w:rStyle w:val="24"/>
              </w:rPr>
              <w:t>Для объектов материальных запасов</w:t>
            </w:r>
          </w:p>
        </w:tc>
      </w:tr>
      <w:tr w:rsidR="00C567A9" w14:paraId="14EE5D45" w14:textId="77777777" w:rsidTr="004E211A">
        <w:trPr>
          <w:trHeight w:hRule="exact" w:val="608"/>
        </w:trPr>
        <w:tc>
          <w:tcPr>
            <w:tcW w:w="1091" w:type="dxa"/>
            <w:tcBorders>
              <w:top w:val="single" w:sz="4" w:space="0" w:color="auto"/>
              <w:left w:val="single" w:sz="4" w:space="0" w:color="auto"/>
            </w:tcBorders>
            <w:shd w:val="clear" w:color="auto" w:fill="FFFFFF"/>
            <w:vAlign w:val="center"/>
          </w:tcPr>
          <w:p w14:paraId="3FA11CDC" w14:textId="77777777" w:rsidR="00C567A9" w:rsidRDefault="00C567A9" w:rsidP="004E211A">
            <w:pPr>
              <w:pStyle w:val="20"/>
              <w:shd w:val="clear" w:color="auto" w:fill="auto"/>
              <w:spacing w:after="0" w:line="340" w:lineRule="exact"/>
              <w:ind w:left="320" w:firstLine="0"/>
              <w:jc w:val="left"/>
            </w:pPr>
            <w:r>
              <w:rPr>
                <w:rStyle w:val="2Cambria17pt0pt"/>
              </w:rPr>
              <w:t>«3»</w:t>
            </w:r>
          </w:p>
        </w:tc>
        <w:tc>
          <w:tcPr>
            <w:tcW w:w="8064" w:type="dxa"/>
            <w:tcBorders>
              <w:top w:val="single" w:sz="4" w:space="0" w:color="auto"/>
              <w:left w:val="single" w:sz="4" w:space="0" w:color="auto"/>
              <w:right w:val="single" w:sz="4" w:space="0" w:color="auto"/>
            </w:tcBorders>
            <w:shd w:val="clear" w:color="auto" w:fill="FFFFFF"/>
            <w:vAlign w:val="center"/>
          </w:tcPr>
          <w:p w14:paraId="22DD0AA7" w14:textId="77777777" w:rsidR="00C567A9" w:rsidRDefault="00C567A9" w:rsidP="004E211A">
            <w:pPr>
              <w:pStyle w:val="20"/>
              <w:shd w:val="clear" w:color="auto" w:fill="auto"/>
              <w:spacing w:after="0" w:line="280" w:lineRule="exact"/>
              <w:ind w:left="160" w:firstLine="0"/>
              <w:jc w:val="left"/>
            </w:pPr>
            <w:r>
              <w:t>В запасе для использования</w:t>
            </w:r>
          </w:p>
        </w:tc>
      </w:tr>
      <w:tr w:rsidR="00C567A9" w14:paraId="56C9A35D"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177CE72D" w14:textId="77777777" w:rsidR="00C567A9" w:rsidRDefault="00C567A9" w:rsidP="004E211A">
            <w:pPr>
              <w:pStyle w:val="20"/>
              <w:shd w:val="clear" w:color="auto" w:fill="auto"/>
              <w:spacing w:after="0" w:line="340" w:lineRule="exact"/>
              <w:ind w:left="320" w:firstLine="0"/>
              <w:jc w:val="left"/>
            </w:pPr>
            <w:r>
              <w:rPr>
                <w:rStyle w:val="2Cambria17pt0pt"/>
              </w:rPr>
              <w:t>«X»</w:t>
            </w:r>
          </w:p>
        </w:tc>
        <w:tc>
          <w:tcPr>
            <w:tcW w:w="8064" w:type="dxa"/>
            <w:tcBorders>
              <w:top w:val="single" w:sz="4" w:space="0" w:color="auto"/>
              <w:left w:val="single" w:sz="4" w:space="0" w:color="auto"/>
              <w:right w:val="single" w:sz="4" w:space="0" w:color="auto"/>
            </w:tcBorders>
            <w:shd w:val="clear" w:color="auto" w:fill="FFFFFF"/>
            <w:vAlign w:val="center"/>
          </w:tcPr>
          <w:p w14:paraId="2DBD6B49" w14:textId="77777777" w:rsidR="00C567A9" w:rsidRDefault="00C567A9" w:rsidP="004E211A">
            <w:pPr>
              <w:pStyle w:val="20"/>
              <w:shd w:val="clear" w:color="auto" w:fill="auto"/>
              <w:spacing w:after="0" w:line="280" w:lineRule="exact"/>
              <w:ind w:left="160" w:firstLine="0"/>
              <w:jc w:val="left"/>
            </w:pPr>
            <w:r>
              <w:t>В запасе на хранении</w:t>
            </w:r>
          </w:p>
        </w:tc>
      </w:tr>
      <w:tr w:rsidR="00C567A9" w14:paraId="73685A2C"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108D0A71" w14:textId="77777777" w:rsidR="00C567A9" w:rsidRDefault="00C567A9" w:rsidP="004E211A">
            <w:pPr>
              <w:pStyle w:val="20"/>
              <w:shd w:val="clear" w:color="auto" w:fill="auto"/>
              <w:spacing w:after="0" w:line="280" w:lineRule="exact"/>
              <w:ind w:left="220" w:firstLine="0"/>
              <w:jc w:val="left"/>
            </w:pPr>
            <w:r>
              <w:rPr>
                <w:rStyle w:val="24"/>
              </w:rPr>
              <w:t>«НК»</w:t>
            </w:r>
          </w:p>
        </w:tc>
        <w:tc>
          <w:tcPr>
            <w:tcW w:w="8064" w:type="dxa"/>
            <w:tcBorders>
              <w:top w:val="single" w:sz="4" w:space="0" w:color="auto"/>
              <w:left w:val="single" w:sz="4" w:space="0" w:color="auto"/>
              <w:right w:val="single" w:sz="4" w:space="0" w:color="auto"/>
            </w:tcBorders>
            <w:shd w:val="clear" w:color="auto" w:fill="FFFFFF"/>
            <w:vAlign w:val="center"/>
          </w:tcPr>
          <w:p w14:paraId="0DD65ADC" w14:textId="77777777" w:rsidR="00C567A9" w:rsidRDefault="00C567A9" w:rsidP="004E211A">
            <w:pPr>
              <w:pStyle w:val="20"/>
              <w:shd w:val="clear" w:color="auto" w:fill="auto"/>
              <w:spacing w:after="0" w:line="280" w:lineRule="exact"/>
              <w:ind w:left="160" w:firstLine="0"/>
              <w:jc w:val="left"/>
            </w:pPr>
            <w:r>
              <w:t>Не надлежащего качества</w:t>
            </w:r>
          </w:p>
        </w:tc>
      </w:tr>
      <w:tr w:rsidR="00C567A9" w14:paraId="557225BE" w14:textId="77777777" w:rsidTr="004E211A">
        <w:trPr>
          <w:trHeight w:hRule="exact" w:val="601"/>
        </w:trPr>
        <w:tc>
          <w:tcPr>
            <w:tcW w:w="1091" w:type="dxa"/>
            <w:tcBorders>
              <w:top w:val="single" w:sz="4" w:space="0" w:color="auto"/>
              <w:left w:val="single" w:sz="4" w:space="0" w:color="auto"/>
            </w:tcBorders>
            <w:shd w:val="clear" w:color="auto" w:fill="FFFFFF"/>
            <w:vAlign w:val="center"/>
          </w:tcPr>
          <w:p w14:paraId="0558494B" w14:textId="77777777" w:rsidR="00C567A9" w:rsidRDefault="00C567A9" w:rsidP="004E211A">
            <w:pPr>
              <w:pStyle w:val="20"/>
              <w:shd w:val="clear" w:color="auto" w:fill="auto"/>
              <w:spacing w:after="0" w:line="340" w:lineRule="exact"/>
              <w:ind w:left="320" w:firstLine="0"/>
              <w:jc w:val="left"/>
            </w:pPr>
            <w:r>
              <w:rPr>
                <w:rStyle w:val="2Cambria17pt0pt"/>
              </w:rPr>
              <w:t>«п»</w:t>
            </w:r>
          </w:p>
        </w:tc>
        <w:tc>
          <w:tcPr>
            <w:tcW w:w="8064" w:type="dxa"/>
            <w:tcBorders>
              <w:top w:val="single" w:sz="4" w:space="0" w:color="auto"/>
              <w:left w:val="single" w:sz="4" w:space="0" w:color="auto"/>
              <w:right w:val="single" w:sz="4" w:space="0" w:color="auto"/>
            </w:tcBorders>
            <w:shd w:val="clear" w:color="auto" w:fill="FFFFFF"/>
            <w:vAlign w:val="center"/>
          </w:tcPr>
          <w:p w14:paraId="270066BD" w14:textId="77777777" w:rsidR="00C567A9" w:rsidRDefault="00C567A9" w:rsidP="004E211A">
            <w:pPr>
              <w:pStyle w:val="20"/>
              <w:shd w:val="clear" w:color="auto" w:fill="auto"/>
              <w:spacing w:after="0" w:line="280" w:lineRule="exact"/>
              <w:ind w:left="160" w:firstLine="0"/>
              <w:jc w:val="left"/>
            </w:pPr>
            <w:r>
              <w:t>Повреждены</w:t>
            </w:r>
          </w:p>
        </w:tc>
      </w:tr>
      <w:tr w:rsidR="00C567A9" w14:paraId="650997EF" w14:textId="77777777" w:rsidTr="004E211A">
        <w:trPr>
          <w:trHeight w:hRule="exact" w:val="598"/>
        </w:trPr>
        <w:tc>
          <w:tcPr>
            <w:tcW w:w="1091" w:type="dxa"/>
            <w:tcBorders>
              <w:top w:val="single" w:sz="4" w:space="0" w:color="auto"/>
              <w:left w:val="single" w:sz="4" w:space="0" w:color="auto"/>
            </w:tcBorders>
            <w:shd w:val="clear" w:color="auto" w:fill="FFFFFF"/>
            <w:vAlign w:val="center"/>
          </w:tcPr>
          <w:p w14:paraId="171ED5FF" w14:textId="77777777" w:rsidR="00C567A9" w:rsidRDefault="00C567A9" w:rsidP="004E211A">
            <w:pPr>
              <w:pStyle w:val="20"/>
              <w:shd w:val="clear" w:color="auto" w:fill="auto"/>
              <w:spacing w:after="0" w:line="340" w:lineRule="exact"/>
              <w:ind w:left="220" w:firstLine="0"/>
              <w:jc w:val="left"/>
            </w:pPr>
            <w:r>
              <w:rPr>
                <w:rStyle w:val="2Cambria17pt0pt"/>
              </w:rPr>
              <w:t>«</w:t>
            </w:r>
            <w:proofErr w:type="spellStart"/>
            <w:r>
              <w:rPr>
                <w:rStyle w:val="2Cambria17pt0pt"/>
              </w:rPr>
              <w:t>ис</w:t>
            </w:r>
            <w:proofErr w:type="spellEnd"/>
            <w:r>
              <w:rPr>
                <w:rStyle w:val="2Cambria17pt0pt"/>
              </w:rPr>
              <w:t>»</w:t>
            </w:r>
          </w:p>
        </w:tc>
        <w:tc>
          <w:tcPr>
            <w:tcW w:w="8064" w:type="dxa"/>
            <w:tcBorders>
              <w:top w:val="single" w:sz="4" w:space="0" w:color="auto"/>
              <w:left w:val="single" w:sz="4" w:space="0" w:color="auto"/>
              <w:right w:val="single" w:sz="4" w:space="0" w:color="auto"/>
            </w:tcBorders>
            <w:shd w:val="clear" w:color="auto" w:fill="FFFFFF"/>
            <w:vAlign w:val="center"/>
          </w:tcPr>
          <w:p w14:paraId="150467AA" w14:textId="77777777" w:rsidR="00C567A9" w:rsidRDefault="00C567A9" w:rsidP="004E211A">
            <w:pPr>
              <w:pStyle w:val="20"/>
              <w:shd w:val="clear" w:color="auto" w:fill="auto"/>
              <w:spacing w:after="0" w:line="280" w:lineRule="exact"/>
              <w:ind w:left="160" w:firstLine="0"/>
              <w:jc w:val="left"/>
            </w:pPr>
            <w:r>
              <w:t>Истек срок хранения</w:t>
            </w:r>
          </w:p>
        </w:tc>
      </w:tr>
      <w:tr w:rsidR="00C567A9" w14:paraId="476BB86C" w14:textId="77777777" w:rsidTr="004E211A">
        <w:trPr>
          <w:trHeight w:hRule="exact" w:val="1566"/>
        </w:trPr>
        <w:tc>
          <w:tcPr>
            <w:tcW w:w="9155" w:type="dxa"/>
            <w:gridSpan w:val="2"/>
            <w:tcBorders>
              <w:top w:val="single" w:sz="4" w:space="0" w:color="auto"/>
              <w:left w:val="single" w:sz="4" w:space="0" w:color="auto"/>
              <w:right w:val="single" w:sz="4" w:space="0" w:color="auto"/>
            </w:tcBorders>
            <w:shd w:val="clear" w:color="auto" w:fill="FFFFFF"/>
            <w:vAlign w:val="center"/>
          </w:tcPr>
          <w:p w14:paraId="3C1687FD" w14:textId="77777777" w:rsidR="00C567A9" w:rsidRDefault="00C567A9" w:rsidP="004E211A">
            <w:pPr>
              <w:pStyle w:val="20"/>
              <w:shd w:val="clear" w:color="auto" w:fill="auto"/>
              <w:spacing w:after="0" w:line="320" w:lineRule="exact"/>
              <w:ind w:firstLine="0"/>
            </w:pPr>
            <w:r>
              <w:t>В графе 9 указывается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w:t>
            </w:r>
          </w:p>
        </w:tc>
      </w:tr>
      <w:tr w:rsidR="00C567A9" w14:paraId="24665E35" w14:textId="77777777" w:rsidTr="004E211A">
        <w:trPr>
          <w:trHeight w:hRule="exact" w:val="601"/>
        </w:trPr>
        <w:tc>
          <w:tcPr>
            <w:tcW w:w="9155" w:type="dxa"/>
            <w:gridSpan w:val="2"/>
            <w:tcBorders>
              <w:top w:val="single" w:sz="4" w:space="0" w:color="auto"/>
              <w:left w:val="single" w:sz="4" w:space="0" w:color="auto"/>
              <w:right w:val="single" w:sz="4" w:space="0" w:color="auto"/>
            </w:tcBorders>
            <w:shd w:val="clear" w:color="auto" w:fill="FFFFFF"/>
            <w:vAlign w:val="center"/>
          </w:tcPr>
          <w:p w14:paraId="0A8ED3F7" w14:textId="77777777" w:rsidR="00C567A9" w:rsidRDefault="00C567A9" w:rsidP="004E211A">
            <w:pPr>
              <w:pStyle w:val="20"/>
              <w:shd w:val="clear" w:color="auto" w:fill="auto"/>
              <w:spacing w:after="0" w:line="280" w:lineRule="exact"/>
              <w:ind w:firstLine="0"/>
            </w:pPr>
            <w:r>
              <w:rPr>
                <w:rStyle w:val="24"/>
              </w:rPr>
              <w:t>Для объектов основных средств</w:t>
            </w:r>
          </w:p>
        </w:tc>
      </w:tr>
      <w:tr w:rsidR="00C567A9" w14:paraId="27757AA3" w14:textId="77777777" w:rsidTr="004E211A">
        <w:trPr>
          <w:trHeight w:hRule="exact" w:val="626"/>
        </w:trPr>
        <w:tc>
          <w:tcPr>
            <w:tcW w:w="1091" w:type="dxa"/>
            <w:tcBorders>
              <w:top w:val="single" w:sz="4" w:space="0" w:color="auto"/>
              <w:left w:val="single" w:sz="4" w:space="0" w:color="auto"/>
              <w:bottom w:val="single" w:sz="4" w:space="0" w:color="auto"/>
            </w:tcBorders>
            <w:shd w:val="clear" w:color="auto" w:fill="FFFFFF"/>
            <w:vAlign w:val="center"/>
          </w:tcPr>
          <w:p w14:paraId="0638E8EE" w14:textId="77777777" w:rsidR="00C567A9" w:rsidRDefault="00C567A9" w:rsidP="004E211A">
            <w:pPr>
              <w:pStyle w:val="20"/>
              <w:shd w:val="clear" w:color="auto" w:fill="auto"/>
              <w:spacing w:after="0" w:line="280" w:lineRule="exact"/>
              <w:ind w:left="320" w:firstLine="0"/>
              <w:jc w:val="left"/>
            </w:pPr>
            <w:r>
              <w:rPr>
                <w:rStyle w:val="23"/>
              </w:rPr>
              <w:t>«Э»</w:t>
            </w:r>
          </w:p>
        </w:tc>
        <w:tc>
          <w:tcPr>
            <w:tcW w:w="8064" w:type="dxa"/>
            <w:tcBorders>
              <w:top w:val="single" w:sz="4" w:space="0" w:color="auto"/>
              <w:left w:val="single" w:sz="4" w:space="0" w:color="auto"/>
              <w:bottom w:val="single" w:sz="4" w:space="0" w:color="auto"/>
              <w:right w:val="single" w:sz="4" w:space="0" w:color="auto"/>
            </w:tcBorders>
            <w:shd w:val="clear" w:color="auto" w:fill="FFFFFF"/>
            <w:vAlign w:val="center"/>
          </w:tcPr>
          <w:p w14:paraId="504CA57D" w14:textId="77777777" w:rsidR="00C567A9" w:rsidRDefault="00C567A9" w:rsidP="004E211A">
            <w:pPr>
              <w:pStyle w:val="20"/>
              <w:shd w:val="clear" w:color="auto" w:fill="auto"/>
              <w:spacing w:after="0" w:line="280" w:lineRule="exact"/>
              <w:ind w:left="160" w:firstLine="0"/>
              <w:jc w:val="left"/>
            </w:pPr>
            <w:r>
              <w:t>Эксплуатация</w:t>
            </w:r>
          </w:p>
        </w:tc>
      </w:tr>
    </w:tbl>
    <w:p w14:paraId="60EE8AF7" w14:textId="77777777" w:rsidR="00C567A9" w:rsidRDefault="00C567A9" w:rsidP="00C567A9">
      <w:pPr>
        <w:pStyle w:val="20"/>
        <w:shd w:val="clear" w:color="auto" w:fill="auto"/>
        <w:tabs>
          <w:tab w:val="left" w:pos="1806"/>
        </w:tabs>
        <w:spacing w:after="0" w:line="320" w:lineRule="exact"/>
        <w:ind w:left="1320" w:right="1180" w:firstLine="0"/>
        <w:jc w:val="both"/>
      </w:pPr>
    </w:p>
    <w:p w14:paraId="3A561812" w14:textId="77777777" w:rsidR="00C567A9" w:rsidRDefault="00C567A9" w:rsidP="00C567A9">
      <w:pPr>
        <w:framePr w:w="9155" w:wrap="notBeside" w:vAnchor="text" w:hAnchor="text" w:xAlign="center" w:y="1"/>
        <w:rPr>
          <w:sz w:val="2"/>
          <w:szCs w:val="2"/>
        </w:rPr>
      </w:pPr>
    </w:p>
    <w:p w14:paraId="13E64B6D" w14:textId="77777777" w:rsidR="00C567A9" w:rsidRDefault="00C567A9" w:rsidP="00C567A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8057"/>
      </w:tblGrid>
      <w:tr w:rsidR="00C567A9" w14:paraId="3D10CC8E" w14:textId="77777777" w:rsidTr="004E211A">
        <w:trPr>
          <w:trHeight w:hRule="exact" w:val="619"/>
          <w:jc w:val="center"/>
        </w:trPr>
        <w:tc>
          <w:tcPr>
            <w:tcW w:w="1094" w:type="dxa"/>
            <w:tcBorders>
              <w:top w:val="single" w:sz="4" w:space="0" w:color="auto"/>
              <w:left w:val="single" w:sz="4" w:space="0" w:color="auto"/>
            </w:tcBorders>
            <w:shd w:val="clear" w:color="auto" w:fill="FFFFFF"/>
            <w:vAlign w:val="center"/>
          </w:tcPr>
          <w:p w14:paraId="04E842C2" w14:textId="77777777" w:rsidR="00C567A9" w:rsidRDefault="00C567A9" w:rsidP="004E211A">
            <w:pPr>
              <w:pStyle w:val="20"/>
              <w:framePr w:w="9151" w:wrap="notBeside" w:vAnchor="text" w:hAnchor="text" w:xAlign="center" w:y="1"/>
              <w:shd w:val="clear" w:color="auto" w:fill="auto"/>
              <w:spacing w:after="0" w:line="280" w:lineRule="exact"/>
              <w:ind w:left="320" w:firstLine="0"/>
              <w:jc w:val="left"/>
            </w:pPr>
            <w:r>
              <w:rPr>
                <w:rStyle w:val="2Cambria"/>
              </w:rPr>
              <w:lastRenderedPageBreak/>
              <w:t>«В»</w:t>
            </w:r>
          </w:p>
        </w:tc>
        <w:tc>
          <w:tcPr>
            <w:tcW w:w="8057" w:type="dxa"/>
            <w:tcBorders>
              <w:top w:val="single" w:sz="4" w:space="0" w:color="auto"/>
              <w:left w:val="single" w:sz="4" w:space="0" w:color="auto"/>
              <w:right w:val="single" w:sz="4" w:space="0" w:color="auto"/>
            </w:tcBorders>
            <w:shd w:val="clear" w:color="auto" w:fill="FFFFFF"/>
            <w:vAlign w:val="center"/>
          </w:tcPr>
          <w:p w14:paraId="5D55BBC1"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Подлежит вводу в эксплуатацию</w:t>
            </w:r>
          </w:p>
        </w:tc>
      </w:tr>
      <w:tr w:rsidR="00C567A9" w14:paraId="38E2143D" w14:textId="77777777" w:rsidTr="004E211A">
        <w:trPr>
          <w:trHeight w:hRule="exact" w:val="605"/>
          <w:jc w:val="center"/>
        </w:trPr>
        <w:tc>
          <w:tcPr>
            <w:tcW w:w="1094" w:type="dxa"/>
            <w:tcBorders>
              <w:top w:val="single" w:sz="4" w:space="0" w:color="auto"/>
              <w:left w:val="single" w:sz="4" w:space="0" w:color="auto"/>
            </w:tcBorders>
            <w:shd w:val="clear" w:color="auto" w:fill="FFFFFF"/>
            <w:vAlign w:val="center"/>
          </w:tcPr>
          <w:p w14:paraId="48843D93" w14:textId="77777777" w:rsidR="00C567A9" w:rsidRDefault="00C567A9" w:rsidP="004E211A">
            <w:pPr>
              <w:pStyle w:val="20"/>
              <w:framePr w:w="9151" w:wrap="notBeside" w:vAnchor="text" w:hAnchor="text" w:xAlign="center" w:y="1"/>
              <w:shd w:val="clear" w:color="auto" w:fill="auto"/>
              <w:spacing w:after="0" w:line="280" w:lineRule="exact"/>
              <w:ind w:left="320" w:firstLine="0"/>
              <w:jc w:val="left"/>
            </w:pPr>
            <w:r>
              <w:rPr>
                <w:rStyle w:val="2Cambria"/>
              </w:rPr>
              <w:t>«р»</w:t>
            </w:r>
          </w:p>
        </w:tc>
        <w:tc>
          <w:tcPr>
            <w:tcW w:w="8057" w:type="dxa"/>
            <w:tcBorders>
              <w:top w:val="single" w:sz="4" w:space="0" w:color="auto"/>
              <w:left w:val="single" w:sz="4" w:space="0" w:color="auto"/>
              <w:right w:val="single" w:sz="4" w:space="0" w:color="auto"/>
            </w:tcBorders>
            <w:shd w:val="clear" w:color="auto" w:fill="FFFFFF"/>
            <w:vAlign w:val="center"/>
          </w:tcPr>
          <w:p w14:paraId="143B1004"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Планируется ремонт</w:t>
            </w:r>
          </w:p>
        </w:tc>
      </w:tr>
      <w:tr w:rsidR="00C567A9" w14:paraId="1AC764BB" w14:textId="77777777" w:rsidTr="004E211A">
        <w:trPr>
          <w:trHeight w:hRule="exact" w:val="601"/>
          <w:jc w:val="center"/>
        </w:trPr>
        <w:tc>
          <w:tcPr>
            <w:tcW w:w="1094" w:type="dxa"/>
            <w:tcBorders>
              <w:top w:val="single" w:sz="4" w:space="0" w:color="auto"/>
              <w:left w:val="single" w:sz="4" w:space="0" w:color="auto"/>
            </w:tcBorders>
            <w:shd w:val="clear" w:color="auto" w:fill="FFFFFF"/>
            <w:vAlign w:val="center"/>
          </w:tcPr>
          <w:p w14:paraId="542F3722" w14:textId="77777777" w:rsidR="00C567A9" w:rsidRDefault="00C567A9" w:rsidP="004E211A">
            <w:pPr>
              <w:pStyle w:val="20"/>
              <w:framePr w:w="9151" w:wrap="notBeside" w:vAnchor="text" w:hAnchor="text" w:xAlign="center" w:y="1"/>
              <w:shd w:val="clear" w:color="auto" w:fill="auto"/>
              <w:spacing w:after="0" w:line="360" w:lineRule="exact"/>
              <w:ind w:left="320" w:firstLine="0"/>
              <w:jc w:val="left"/>
            </w:pPr>
            <w:r>
              <w:rPr>
                <w:rStyle w:val="2MicrosoftSansSerif18pt-1pt"/>
              </w:rPr>
              <w:t>«к»</w:t>
            </w:r>
          </w:p>
        </w:tc>
        <w:tc>
          <w:tcPr>
            <w:tcW w:w="8057" w:type="dxa"/>
            <w:tcBorders>
              <w:top w:val="single" w:sz="4" w:space="0" w:color="auto"/>
              <w:left w:val="single" w:sz="4" w:space="0" w:color="auto"/>
              <w:right w:val="single" w:sz="4" w:space="0" w:color="auto"/>
            </w:tcBorders>
            <w:shd w:val="clear" w:color="auto" w:fill="FFFFFF"/>
            <w:vAlign w:val="center"/>
          </w:tcPr>
          <w:p w14:paraId="3262FE6D"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Требуется консервация</w:t>
            </w:r>
          </w:p>
        </w:tc>
      </w:tr>
      <w:tr w:rsidR="00C567A9" w14:paraId="5BA829B8" w14:textId="77777777" w:rsidTr="004E211A">
        <w:trPr>
          <w:trHeight w:hRule="exact" w:val="605"/>
          <w:jc w:val="center"/>
        </w:trPr>
        <w:tc>
          <w:tcPr>
            <w:tcW w:w="1094" w:type="dxa"/>
            <w:tcBorders>
              <w:top w:val="single" w:sz="4" w:space="0" w:color="auto"/>
              <w:left w:val="single" w:sz="4" w:space="0" w:color="auto"/>
            </w:tcBorders>
            <w:shd w:val="clear" w:color="auto" w:fill="FFFFFF"/>
            <w:vAlign w:val="center"/>
          </w:tcPr>
          <w:p w14:paraId="6E701832" w14:textId="77777777" w:rsidR="00C567A9" w:rsidRDefault="00C567A9" w:rsidP="004E211A">
            <w:pPr>
              <w:pStyle w:val="20"/>
              <w:framePr w:w="9151" w:wrap="notBeside" w:vAnchor="text" w:hAnchor="text" w:xAlign="center" w:y="1"/>
              <w:shd w:val="clear" w:color="auto" w:fill="auto"/>
              <w:spacing w:after="0" w:line="280" w:lineRule="exact"/>
              <w:ind w:left="320" w:firstLine="0"/>
              <w:jc w:val="left"/>
            </w:pPr>
            <w:r>
              <w:rPr>
                <w:rStyle w:val="2Cambria"/>
              </w:rPr>
              <w:t>«м»</w:t>
            </w:r>
          </w:p>
        </w:tc>
        <w:tc>
          <w:tcPr>
            <w:tcW w:w="8057" w:type="dxa"/>
            <w:tcBorders>
              <w:top w:val="single" w:sz="4" w:space="0" w:color="auto"/>
              <w:left w:val="single" w:sz="4" w:space="0" w:color="auto"/>
              <w:right w:val="single" w:sz="4" w:space="0" w:color="auto"/>
            </w:tcBorders>
            <w:shd w:val="clear" w:color="auto" w:fill="FFFFFF"/>
            <w:vAlign w:val="center"/>
          </w:tcPr>
          <w:p w14:paraId="5D5D3431"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Требуется модернизация, достройка, дооборудование объекта</w:t>
            </w:r>
          </w:p>
        </w:tc>
      </w:tr>
      <w:tr w:rsidR="00C567A9" w14:paraId="6B6DBE24" w14:textId="77777777" w:rsidTr="004E211A">
        <w:trPr>
          <w:trHeight w:hRule="exact" w:val="601"/>
          <w:jc w:val="center"/>
        </w:trPr>
        <w:tc>
          <w:tcPr>
            <w:tcW w:w="1094" w:type="dxa"/>
            <w:tcBorders>
              <w:top w:val="single" w:sz="4" w:space="0" w:color="auto"/>
              <w:left w:val="single" w:sz="4" w:space="0" w:color="auto"/>
            </w:tcBorders>
            <w:shd w:val="clear" w:color="auto" w:fill="FFFFFF"/>
            <w:vAlign w:val="center"/>
          </w:tcPr>
          <w:p w14:paraId="5D556397" w14:textId="77777777" w:rsidR="00C567A9" w:rsidRDefault="00C567A9" w:rsidP="004E211A">
            <w:pPr>
              <w:pStyle w:val="20"/>
              <w:framePr w:w="9151" w:wrap="notBeside" w:vAnchor="text" w:hAnchor="text" w:xAlign="center" w:y="1"/>
              <w:shd w:val="clear" w:color="auto" w:fill="auto"/>
              <w:spacing w:after="0" w:line="360" w:lineRule="exact"/>
              <w:ind w:left="320" w:firstLine="0"/>
              <w:jc w:val="left"/>
            </w:pPr>
            <w:r>
              <w:rPr>
                <w:rStyle w:val="2MicrosoftSansSerif18pt-1pt"/>
              </w:rPr>
              <w:t>«с»</w:t>
            </w:r>
          </w:p>
        </w:tc>
        <w:tc>
          <w:tcPr>
            <w:tcW w:w="8057" w:type="dxa"/>
            <w:tcBorders>
              <w:top w:val="single" w:sz="4" w:space="0" w:color="auto"/>
              <w:left w:val="single" w:sz="4" w:space="0" w:color="auto"/>
              <w:right w:val="single" w:sz="4" w:space="0" w:color="auto"/>
            </w:tcBorders>
            <w:shd w:val="clear" w:color="auto" w:fill="FFFFFF"/>
            <w:vAlign w:val="center"/>
          </w:tcPr>
          <w:p w14:paraId="2FDA7957"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Списание и утилизация (при необходимости)</w:t>
            </w:r>
          </w:p>
        </w:tc>
      </w:tr>
      <w:tr w:rsidR="00C567A9" w14:paraId="4C6278D5" w14:textId="77777777" w:rsidTr="004E211A">
        <w:trPr>
          <w:trHeight w:hRule="exact" w:val="601"/>
          <w:jc w:val="center"/>
        </w:trPr>
        <w:tc>
          <w:tcPr>
            <w:tcW w:w="9151" w:type="dxa"/>
            <w:gridSpan w:val="2"/>
            <w:tcBorders>
              <w:top w:val="single" w:sz="4" w:space="0" w:color="auto"/>
              <w:left w:val="single" w:sz="4" w:space="0" w:color="auto"/>
              <w:right w:val="single" w:sz="4" w:space="0" w:color="auto"/>
            </w:tcBorders>
            <w:shd w:val="clear" w:color="auto" w:fill="FFFFFF"/>
            <w:vAlign w:val="center"/>
          </w:tcPr>
          <w:p w14:paraId="6C246C7A" w14:textId="77777777" w:rsidR="00C567A9" w:rsidRDefault="00C567A9" w:rsidP="004E211A">
            <w:pPr>
              <w:pStyle w:val="20"/>
              <w:framePr w:w="9151" w:wrap="notBeside" w:vAnchor="text" w:hAnchor="text" w:xAlign="center" w:y="1"/>
              <w:shd w:val="clear" w:color="auto" w:fill="auto"/>
              <w:spacing w:after="0" w:line="280" w:lineRule="exact"/>
              <w:ind w:firstLine="0"/>
            </w:pPr>
            <w:r>
              <w:rPr>
                <w:rStyle w:val="24"/>
              </w:rPr>
              <w:t>Для объектов материальных запасов</w:t>
            </w:r>
          </w:p>
        </w:tc>
      </w:tr>
      <w:tr w:rsidR="00C567A9" w14:paraId="39DA0CA1" w14:textId="77777777" w:rsidTr="004E211A">
        <w:trPr>
          <w:trHeight w:hRule="exact" w:val="605"/>
          <w:jc w:val="center"/>
        </w:trPr>
        <w:tc>
          <w:tcPr>
            <w:tcW w:w="1094" w:type="dxa"/>
            <w:tcBorders>
              <w:top w:val="single" w:sz="4" w:space="0" w:color="auto"/>
              <w:left w:val="single" w:sz="4" w:space="0" w:color="auto"/>
            </w:tcBorders>
            <w:shd w:val="clear" w:color="auto" w:fill="FFFFFF"/>
            <w:vAlign w:val="center"/>
          </w:tcPr>
          <w:p w14:paraId="78C26E99" w14:textId="77777777" w:rsidR="00C567A9" w:rsidRDefault="00C567A9" w:rsidP="004E211A">
            <w:pPr>
              <w:pStyle w:val="20"/>
              <w:framePr w:w="9151" w:wrap="notBeside" w:vAnchor="text" w:hAnchor="text" w:xAlign="center" w:y="1"/>
              <w:shd w:val="clear" w:color="auto" w:fill="auto"/>
              <w:spacing w:after="0" w:line="280" w:lineRule="exact"/>
              <w:ind w:left="320" w:firstLine="0"/>
              <w:jc w:val="left"/>
            </w:pPr>
            <w:r>
              <w:rPr>
                <w:rStyle w:val="2Cambria"/>
              </w:rPr>
              <w:t>«Э»</w:t>
            </w:r>
          </w:p>
        </w:tc>
        <w:tc>
          <w:tcPr>
            <w:tcW w:w="8057" w:type="dxa"/>
            <w:tcBorders>
              <w:top w:val="single" w:sz="4" w:space="0" w:color="auto"/>
              <w:left w:val="single" w:sz="4" w:space="0" w:color="auto"/>
              <w:right w:val="single" w:sz="4" w:space="0" w:color="auto"/>
            </w:tcBorders>
            <w:shd w:val="clear" w:color="auto" w:fill="FFFFFF"/>
            <w:vAlign w:val="center"/>
          </w:tcPr>
          <w:p w14:paraId="5619E103"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Планируется использование в деятельности</w:t>
            </w:r>
          </w:p>
        </w:tc>
      </w:tr>
      <w:tr w:rsidR="00C567A9" w14:paraId="1D16A4A0" w14:textId="77777777" w:rsidTr="004E211A">
        <w:trPr>
          <w:trHeight w:hRule="exact" w:val="605"/>
          <w:jc w:val="center"/>
        </w:trPr>
        <w:tc>
          <w:tcPr>
            <w:tcW w:w="1094" w:type="dxa"/>
            <w:tcBorders>
              <w:top w:val="single" w:sz="4" w:space="0" w:color="auto"/>
              <w:left w:val="single" w:sz="4" w:space="0" w:color="auto"/>
            </w:tcBorders>
            <w:shd w:val="clear" w:color="auto" w:fill="FFFFFF"/>
            <w:vAlign w:val="center"/>
          </w:tcPr>
          <w:p w14:paraId="7D233C79" w14:textId="77777777" w:rsidR="00C567A9" w:rsidRDefault="00C567A9" w:rsidP="004E211A">
            <w:pPr>
              <w:pStyle w:val="20"/>
              <w:framePr w:w="9151" w:wrap="notBeside" w:vAnchor="text" w:hAnchor="text" w:xAlign="center" w:y="1"/>
              <w:shd w:val="clear" w:color="auto" w:fill="auto"/>
              <w:spacing w:after="0" w:line="280" w:lineRule="exact"/>
              <w:ind w:left="320" w:firstLine="0"/>
              <w:jc w:val="left"/>
            </w:pPr>
            <w:r>
              <w:rPr>
                <w:rStyle w:val="2Cambria"/>
              </w:rPr>
              <w:t>«X»</w:t>
            </w:r>
          </w:p>
        </w:tc>
        <w:tc>
          <w:tcPr>
            <w:tcW w:w="8057" w:type="dxa"/>
            <w:tcBorders>
              <w:top w:val="single" w:sz="4" w:space="0" w:color="auto"/>
              <w:left w:val="single" w:sz="4" w:space="0" w:color="auto"/>
              <w:right w:val="single" w:sz="4" w:space="0" w:color="auto"/>
            </w:tcBorders>
            <w:shd w:val="clear" w:color="auto" w:fill="FFFFFF"/>
            <w:vAlign w:val="center"/>
          </w:tcPr>
          <w:p w14:paraId="4BD3F2CE"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Продолжение хранения объектов</w:t>
            </w:r>
          </w:p>
        </w:tc>
      </w:tr>
      <w:tr w:rsidR="00C567A9" w14:paraId="1D0CB641" w14:textId="77777777" w:rsidTr="004E211A">
        <w:trPr>
          <w:trHeight w:hRule="exact" w:val="623"/>
          <w:jc w:val="center"/>
        </w:trPr>
        <w:tc>
          <w:tcPr>
            <w:tcW w:w="1094" w:type="dxa"/>
            <w:tcBorders>
              <w:top w:val="single" w:sz="4" w:space="0" w:color="auto"/>
              <w:left w:val="single" w:sz="4" w:space="0" w:color="auto"/>
              <w:bottom w:val="single" w:sz="4" w:space="0" w:color="auto"/>
            </w:tcBorders>
            <w:shd w:val="clear" w:color="auto" w:fill="FFFFFF"/>
            <w:vAlign w:val="center"/>
          </w:tcPr>
          <w:p w14:paraId="08B65529" w14:textId="77777777" w:rsidR="00C567A9" w:rsidRDefault="00C567A9" w:rsidP="004E211A">
            <w:pPr>
              <w:pStyle w:val="20"/>
              <w:framePr w:w="9151" w:wrap="notBeside" w:vAnchor="text" w:hAnchor="text" w:xAlign="center" w:y="1"/>
              <w:shd w:val="clear" w:color="auto" w:fill="auto"/>
              <w:spacing w:after="0" w:line="280" w:lineRule="exact"/>
              <w:ind w:left="320" w:firstLine="0"/>
              <w:jc w:val="left"/>
            </w:pPr>
            <w:r>
              <w:rPr>
                <w:rStyle w:val="24"/>
              </w:rPr>
              <w:t>«С»</w:t>
            </w:r>
          </w:p>
        </w:tc>
        <w:tc>
          <w:tcPr>
            <w:tcW w:w="8057" w:type="dxa"/>
            <w:tcBorders>
              <w:top w:val="single" w:sz="4" w:space="0" w:color="auto"/>
              <w:left w:val="single" w:sz="4" w:space="0" w:color="auto"/>
              <w:bottom w:val="single" w:sz="4" w:space="0" w:color="auto"/>
              <w:right w:val="single" w:sz="4" w:space="0" w:color="auto"/>
            </w:tcBorders>
            <w:shd w:val="clear" w:color="auto" w:fill="FFFFFF"/>
            <w:vAlign w:val="center"/>
          </w:tcPr>
          <w:p w14:paraId="55EDC0DD" w14:textId="77777777" w:rsidR="00C567A9" w:rsidRDefault="00C567A9" w:rsidP="004E211A">
            <w:pPr>
              <w:pStyle w:val="20"/>
              <w:framePr w:w="9151" w:wrap="notBeside" w:vAnchor="text" w:hAnchor="text" w:xAlign="center" w:y="1"/>
              <w:shd w:val="clear" w:color="auto" w:fill="auto"/>
              <w:spacing w:after="0" w:line="280" w:lineRule="exact"/>
              <w:ind w:left="160" w:firstLine="0"/>
              <w:jc w:val="left"/>
            </w:pPr>
            <w:r>
              <w:t>Требуется списание</w:t>
            </w:r>
          </w:p>
        </w:tc>
      </w:tr>
    </w:tbl>
    <w:p w14:paraId="0BB89889" w14:textId="77777777" w:rsidR="00C567A9" w:rsidRDefault="00C567A9" w:rsidP="00C567A9">
      <w:pPr>
        <w:framePr w:w="9151" w:wrap="notBeside" w:vAnchor="text" w:hAnchor="text" w:xAlign="center" w:y="1"/>
        <w:rPr>
          <w:sz w:val="2"/>
          <w:szCs w:val="2"/>
        </w:rPr>
      </w:pPr>
    </w:p>
    <w:p w14:paraId="43C066BB" w14:textId="77777777" w:rsidR="00C567A9" w:rsidRDefault="00C567A9" w:rsidP="00C567A9">
      <w:pPr>
        <w:rPr>
          <w:sz w:val="2"/>
          <w:szCs w:val="2"/>
        </w:rPr>
      </w:pPr>
    </w:p>
    <w:p w14:paraId="4731FF28" w14:textId="77777777" w:rsidR="00C567A9" w:rsidRDefault="00C567A9" w:rsidP="0081557B">
      <w:pPr>
        <w:pStyle w:val="20"/>
        <w:shd w:val="clear" w:color="auto" w:fill="auto"/>
        <w:spacing w:before="422" w:after="0" w:line="320" w:lineRule="exact"/>
        <w:ind w:firstLine="740"/>
        <w:jc w:val="both"/>
      </w:pPr>
      <w:r>
        <w:t>По результатам инвентаризации председатель инвентаризационной комиссии подготавливает начальнику Госюрбюро предложения:</w:t>
      </w:r>
    </w:p>
    <w:p w14:paraId="64167899" w14:textId="77777777" w:rsidR="00C567A9" w:rsidRDefault="00C567A9" w:rsidP="0081557B">
      <w:pPr>
        <w:pStyle w:val="20"/>
        <w:numPr>
          <w:ilvl w:val="0"/>
          <w:numId w:val="1"/>
        </w:numPr>
        <w:shd w:val="clear" w:color="auto" w:fill="auto"/>
        <w:tabs>
          <w:tab w:val="left" w:pos="709"/>
        </w:tabs>
        <w:spacing w:after="0" w:line="320" w:lineRule="exact"/>
        <w:ind w:firstLine="567"/>
        <w:jc w:val="both"/>
      </w:pPr>
      <w:r>
        <w:t>по отнесению недостач имущества, а также имущества, пришедшего в негодность, на счет виновных лиц либо их списанию (п. 51 Инструкции 157н);</w:t>
      </w:r>
    </w:p>
    <w:p w14:paraId="4D1D61F8" w14:textId="77777777" w:rsidR="00C567A9" w:rsidRDefault="00C567A9" w:rsidP="0081557B">
      <w:pPr>
        <w:pStyle w:val="20"/>
        <w:numPr>
          <w:ilvl w:val="0"/>
          <w:numId w:val="1"/>
        </w:numPr>
        <w:shd w:val="clear" w:color="auto" w:fill="auto"/>
        <w:tabs>
          <w:tab w:val="left" w:pos="709"/>
        </w:tabs>
        <w:spacing w:after="0" w:line="320" w:lineRule="exact"/>
        <w:ind w:firstLine="567"/>
        <w:jc w:val="both"/>
      </w:pPr>
      <w:r>
        <w:t>по оприходованию излишков;</w:t>
      </w:r>
    </w:p>
    <w:p w14:paraId="7B443F81" w14:textId="77777777" w:rsidR="00C567A9" w:rsidRDefault="00C567A9" w:rsidP="0081557B">
      <w:pPr>
        <w:pStyle w:val="20"/>
        <w:numPr>
          <w:ilvl w:val="0"/>
          <w:numId w:val="1"/>
        </w:numPr>
        <w:shd w:val="clear" w:color="auto" w:fill="auto"/>
        <w:tabs>
          <w:tab w:val="left" w:pos="709"/>
        </w:tabs>
        <w:spacing w:after="0" w:line="320" w:lineRule="exact"/>
        <w:ind w:firstLine="567"/>
        <w:jc w:val="both"/>
      </w:pPr>
      <w:r>
        <w:t>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14:paraId="2B873BA1" w14:textId="19FB4D0C" w:rsidR="0090194D" w:rsidRDefault="00C567A9" w:rsidP="0090194D">
      <w:pPr>
        <w:pStyle w:val="20"/>
        <w:numPr>
          <w:ilvl w:val="0"/>
          <w:numId w:val="1"/>
        </w:numPr>
        <w:shd w:val="clear" w:color="auto" w:fill="auto"/>
        <w:tabs>
          <w:tab w:val="left" w:pos="709"/>
        </w:tabs>
        <w:spacing w:after="0" w:line="320" w:lineRule="exact"/>
        <w:ind w:firstLine="567"/>
        <w:jc w:val="both"/>
      </w:pPr>
      <w:r>
        <w:t>по списанию нереальной к взысканию дебиторской и невостребованной кредиторской задолженности на основании проведенной инвентаризации расчетов</w:t>
      </w:r>
      <w:r w:rsidR="0081557B">
        <w:t>.</w:t>
      </w:r>
    </w:p>
    <w:p w14:paraId="03A97B42" w14:textId="3A2CDDB7" w:rsidR="0090194D" w:rsidRDefault="0090194D" w:rsidP="0090194D">
      <w:pPr>
        <w:pStyle w:val="20"/>
        <w:shd w:val="clear" w:color="auto" w:fill="auto"/>
        <w:tabs>
          <w:tab w:val="left" w:pos="709"/>
        </w:tabs>
        <w:spacing w:after="0" w:line="320" w:lineRule="exact"/>
        <w:ind w:firstLine="709"/>
        <w:jc w:val="both"/>
      </w:pPr>
      <w:r>
        <w:t>По результатам инвентаризации инвентаризационная комиссия составляет акт о результатах инвентаризации (ф. 05</w:t>
      </w:r>
      <w:r w:rsidR="00BA01A2">
        <w:t>10463</w:t>
      </w:r>
      <w:r>
        <w:t xml:space="preserve">). </w:t>
      </w:r>
      <w:r w:rsidR="0081557B">
        <w:t>При выявлении инвентаризационной комиссией расхождений данных бухгалтерского учета с данными фактического учета</w:t>
      </w:r>
      <w:r>
        <w:t xml:space="preserve"> инвентаризационная комиссия составляет ведомости расхождений по результатам инвентаризации (ф. 0504092).</w:t>
      </w:r>
    </w:p>
    <w:p w14:paraId="26E3E8DA" w14:textId="77777777" w:rsidR="00C567A9" w:rsidRDefault="00C567A9" w:rsidP="0081557B">
      <w:pPr>
        <w:pStyle w:val="20"/>
        <w:numPr>
          <w:ilvl w:val="0"/>
          <w:numId w:val="4"/>
        </w:numPr>
        <w:shd w:val="clear" w:color="auto" w:fill="auto"/>
        <w:spacing w:after="0" w:line="320" w:lineRule="exact"/>
        <w:ind w:firstLine="0"/>
        <w:jc w:val="both"/>
      </w:pPr>
      <w:r>
        <w:t>Инвентаризация проводится в присутствии всех членов Комиссии. Отсутствие хотя бы одного члена Комиссии служит основанием для признания результатов инвентаризации недействительными.</w:t>
      </w:r>
    </w:p>
    <w:p w14:paraId="1068AEFE" w14:textId="77777777" w:rsidR="00C567A9" w:rsidRDefault="00C567A9" w:rsidP="0081557B">
      <w:pPr>
        <w:pStyle w:val="20"/>
        <w:numPr>
          <w:ilvl w:val="0"/>
          <w:numId w:val="4"/>
        </w:numPr>
        <w:shd w:val="clear" w:color="auto" w:fill="auto"/>
        <w:tabs>
          <w:tab w:val="left" w:pos="709"/>
        </w:tabs>
        <w:spacing w:after="0" w:line="320" w:lineRule="exact"/>
        <w:ind w:firstLine="0"/>
        <w:jc w:val="both"/>
      </w:pPr>
      <w:r>
        <w:t>Материально ответственные лица в состав Комиссии не входят. К началу инвентаризации материально ответственные лица дают расписки о том, что все расходные и приходные документы сданы в бухгалтерию или переданы комиссии и все ценности, поступившие на их ответственность, оприходованы, а выбывшие списаны в расход. При проверке фактического наличия имущества присутствие материально ответственных лиц обязательно.</w:t>
      </w:r>
    </w:p>
    <w:p w14:paraId="1B0DF7CE" w14:textId="77777777" w:rsidR="00C567A9" w:rsidRDefault="00C567A9" w:rsidP="0081557B">
      <w:pPr>
        <w:pStyle w:val="20"/>
        <w:numPr>
          <w:ilvl w:val="0"/>
          <w:numId w:val="4"/>
        </w:numPr>
        <w:shd w:val="clear" w:color="auto" w:fill="auto"/>
        <w:spacing w:after="0" w:line="320" w:lineRule="exact"/>
        <w:ind w:firstLine="0"/>
        <w:jc w:val="both"/>
      </w:pPr>
      <w:r>
        <w:t xml:space="preserve">Результаты инвентаризации отражаются в бухгалтерском учете и </w:t>
      </w:r>
      <w:r>
        <w:lastRenderedPageBreak/>
        <w:t>бухгалтерской (финансовой) отчетности того периода, в котором была закончена инвентаризация.</w:t>
      </w:r>
    </w:p>
    <w:p w14:paraId="01E84FCA" w14:textId="77777777" w:rsidR="00C567A9" w:rsidRDefault="00C567A9" w:rsidP="0081557B">
      <w:pPr>
        <w:pStyle w:val="20"/>
        <w:numPr>
          <w:ilvl w:val="0"/>
          <w:numId w:val="4"/>
        </w:numPr>
        <w:shd w:val="clear" w:color="auto" w:fill="auto"/>
        <w:tabs>
          <w:tab w:val="left" w:pos="709"/>
        </w:tabs>
        <w:spacing w:after="0" w:line="320" w:lineRule="exact"/>
        <w:ind w:firstLine="0"/>
        <w:jc w:val="both"/>
      </w:pPr>
      <w: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14:paraId="4849A377" w14:textId="77777777" w:rsidR="00C567A9" w:rsidRDefault="00C567A9" w:rsidP="0081557B">
      <w:pPr>
        <w:pStyle w:val="20"/>
        <w:numPr>
          <w:ilvl w:val="0"/>
          <w:numId w:val="4"/>
        </w:numPr>
        <w:shd w:val="clear" w:color="auto" w:fill="auto"/>
        <w:spacing w:after="0" w:line="320" w:lineRule="exact"/>
        <w:ind w:firstLine="0"/>
        <w:jc w:val="both"/>
      </w:pPr>
      <w:r>
        <w:t>В отдельных случаях (при смене материально-ответственных лиц, внезапной ревизии фондовой кассы,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отдельным приказом Госюрбюро.</w:t>
      </w:r>
    </w:p>
    <w:sectPr w:rsidR="00C567A9" w:rsidSect="0081557B">
      <w:headerReference w:type="even" r:id="rId8"/>
      <w:headerReference w:type="default" r:id="rId9"/>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5727" w14:textId="77777777" w:rsidR="00C567A9" w:rsidRDefault="00C567A9" w:rsidP="00C567A9">
      <w:r>
        <w:separator/>
      </w:r>
    </w:p>
  </w:endnote>
  <w:endnote w:type="continuationSeparator" w:id="0">
    <w:p w14:paraId="0208B524" w14:textId="77777777" w:rsidR="00C567A9" w:rsidRDefault="00C567A9" w:rsidP="00C5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7A08" w14:textId="77777777" w:rsidR="00C567A9" w:rsidRDefault="00C567A9" w:rsidP="00C567A9">
      <w:r>
        <w:separator/>
      </w:r>
    </w:p>
  </w:footnote>
  <w:footnote w:type="continuationSeparator" w:id="0">
    <w:p w14:paraId="2B0747AC" w14:textId="77777777" w:rsidR="00C567A9" w:rsidRDefault="00C567A9" w:rsidP="00C5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7DD3" w14:textId="01128264" w:rsidR="0090194D" w:rsidRDefault="0081557B">
    <w:pPr>
      <w:rPr>
        <w:sz w:val="2"/>
        <w:szCs w:val="2"/>
      </w:rPr>
    </w:pPr>
    <w:r>
      <w:rPr>
        <w:noProof/>
      </w:rPr>
      <mc:AlternateContent>
        <mc:Choice Requires="wps">
          <w:drawing>
            <wp:anchor distT="0" distB="0" distL="63500" distR="63500" simplePos="0" relativeHeight="251659264" behindDoc="1" locked="0" layoutInCell="1" allowOverlap="1" wp14:anchorId="41E3ABDB" wp14:editId="682C284A">
              <wp:simplePos x="0" y="0"/>
              <wp:positionH relativeFrom="page">
                <wp:posOffset>4462145</wp:posOffset>
              </wp:positionH>
              <wp:positionV relativeFrom="page">
                <wp:posOffset>840740</wp:posOffset>
              </wp:positionV>
              <wp:extent cx="2660650" cy="759460"/>
              <wp:effectExtent l="4445" t="2540" r="0" b="0"/>
              <wp:wrapNone/>
              <wp:docPr id="108979887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75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E46A" w14:textId="77777777" w:rsidR="0090194D" w:rsidRDefault="0090194D">
                          <w:pPr>
                            <w:pStyle w:val="a4"/>
                            <w:shd w:val="clear" w:color="auto" w:fill="auto"/>
                            <w:spacing w:line="240" w:lineRule="auto"/>
                          </w:pPr>
                          <w:r>
                            <w:rPr>
                              <w:rStyle w:val="13pt"/>
                            </w:rPr>
                            <w:t>Приложение № 14</w:t>
                          </w:r>
                        </w:p>
                        <w:p w14:paraId="57148867" w14:textId="77777777" w:rsidR="0090194D" w:rsidRDefault="0090194D">
                          <w:pPr>
                            <w:pStyle w:val="a4"/>
                            <w:shd w:val="clear" w:color="auto" w:fill="auto"/>
                            <w:spacing w:line="240" w:lineRule="auto"/>
                            <w:rPr>
                              <w:rStyle w:val="13pt"/>
                            </w:rPr>
                          </w:pPr>
                          <w:r>
                            <w:rPr>
                              <w:rStyle w:val="13pt"/>
                            </w:rPr>
                            <w:t>к Учетной политике ГКУ Республики</w:t>
                          </w:r>
                        </w:p>
                        <w:p w14:paraId="49C1C5B6" w14:textId="77777777" w:rsidR="0090194D" w:rsidRDefault="0090194D">
                          <w:pPr>
                            <w:pStyle w:val="a4"/>
                            <w:shd w:val="clear" w:color="auto" w:fill="auto"/>
                            <w:spacing w:line="240" w:lineRule="auto"/>
                          </w:pPr>
                          <w:r>
                            <w:rPr>
                              <w:rStyle w:val="13pt"/>
                            </w:rPr>
                            <w:t>Карелия «Госюрбюро РК»</w:t>
                          </w:r>
                        </w:p>
                        <w:p w14:paraId="29CABF58" w14:textId="77777777" w:rsidR="0090194D" w:rsidRDefault="0090194D">
                          <w:pPr>
                            <w:pStyle w:val="a4"/>
                            <w:shd w:val="clear" w:color="auto" w:fill="auto"/>
                            <w:spacing w:line="240" w:lineRule="auto"/>
                          </w:pPr>
                          <w:r>
                            <w:rPr>
                              <w:rStyle w:val="13pt"/>
                            </w:rPr>
                            <w:t>Приказ от 30.09.2022 г. № 79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E3ABDB" id="_x0000_t202" coordsize="21600,21600" o:spt="202" path="m,l,21600r21600,l21600,xe">
              <v:stroke joinstyle="miter"/>
              <v:path gradientshapeok="t" o:connecttype="rect"/>
            </v:shapetype>
            <v:shape id="Надпись 1" o:spid="_x0000_s1026" type="#_x0000_t202" style="position:absolute;margin-left:351.35pt;margin-top:66.2pt;width:209.5pt;height:59.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" filled="f" stroked="f">
              <v:textbox style="mso-fit-shape-to-text:t" inset="0,0,0,0">
                <w:txbxContent>
                  <w:p w14:paraId="2A31E46A" w14:textId="77777777" w:rsidR="0090194D" w:rsidRDefault="0090194D">
                    <w:pPr>
                      <w:pStyle w:val="a4"/>
                      <w:shd w:val="clear" w:color="auto" w:fill="auto"/>
                      <w:spacing w:line="240" w:lineRule="auto"/>
                    </w:pPr>
                    <w:r>
                      <w:rPr>
                        <w:rStyle w:val="13pt"/>
                      </w:rPr>
                      <w:t>Приложение № 14</w:t>
                    </w:r>
                  </w:p>
                  <w:p w14:paraId="57148867" w14:textId="77777777" w:rsidR="0090194D" w:rsidRDefault="0090194D">
                    <w:pPr>
                      <w:pStyle w:val="a4"/>
                      <w:shd w:val="clear" w:color="auto" w:fill="auto"/>
                      <w:spacing w:line="240" w:lineRule="auto"/>
                      <w:rPr>
                        <w:rStyle w:val="13pt"/>
                      </w:rPr>
                    </w:pPr>
                    <w:r>
                      <w:rPr>
                        <w:rStyle w:val="13pt"/>
                      </w:rPr>
                      <w:t>к Учетной политике ГКУ Республики</w:t>
                    </w:r>
                  </w:p>
                  <w:p w14:paraId="49C1C5B6" w14:textId="77777777" w:rsidR="0090194D" w:rsidRDefault="0090194D">
                    <w:pPr>
                      <w:pStyle w:val="a4"/>
                      <w:shd w:val="clear" w:color="auto" w:fill="auto"/>
                      <w:spacing w:line="240" w:lineRule="auto"/>
                    </w:pPr>
                    <w:r>
                      <w:rPr>
                        <w:rStyle w:val="13pt"/>
                      </w:rPr>
                      <w:t>Карелия «Госюрбюро РК»</w:t>
                    </w:r>
                  </w:p>
                  <w:p w14:paraId="29CABF58" w14:textId="77777777" w:rsidR="0090194D" w:rsidRDefault="0090194D">
                    <w:pPr>
                      <w:pStyle w:val="a4"/>
                      <w:shd w:val="clear" w:color="auto" w:fill="auto"/>
                      <w:spacing w:line="240" w:lineRule="auto"/>
                    </w:pPr>
                    <w:r>
                      <w:rPr>
                        <w:rStyle w:val="13pt"/>
                      </w:rPr>
                      <w:t>Приказ от 30.09.2022 г. № 79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2F82" w14:textId="77777777" w:rsidR="0090194D" w:rsidRDefault="00901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C662" w14:textId="77777777" w:rsidR="0090194D" w:rsidRDefault="00901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B0F74"/>
    <w:multiLevelType w:val="multilevel"/>
    <w:tmpl w:val="127EA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E85769"/>
    <w:multiLevelType w:val="multilevel"/>
    <w:tmpl w:val="3C4C97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D75FA2"/>
    <w:multiLevelType w:val="multilevel"/>
    <w:tmpl w:val="2682A94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57886"/>
    <w:multiLevelType w:val="multilevel"/>
    <w:tmpl w:val="EC147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87002">
    <w:abstractNumId w:val="1"/>
  </w:num>
  <w:num w:numId="2" w16cid:durableId="1405224525">
    <w:abstractNumId w:val="3"/>
  </w:num>
  <w:num w:numId="3" w16cid:durableId="891311067">
    <w:abstractNumId w:val="0"/>
  </w:num>
  <w:num w:numId="4" w16cid:durableId="798228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A2"/>
    <w:rsid w:val="001477B2"/>
    <w:rsid w:val="001D35D4"/>
    <w:rsid w:val="007361A2"/>
    <w:rsid w:val="0081557B"/>
    <w:rsid w:val="0090194D"/>
    <w:rsid w:val="00BA01A2"/>
    <w:rsid w:val="00C567A9"/>
    <w:rsid w:val="00C70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5DA1"/>
  <w15:chartTrackingRefBased/>
  <w15:docId w15:val="{A5B1870F-6E12-473A-9791-A73E1FD4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7A9"/>
    <w:pPr>
      <w:widowControl w:val="0"/>
      <w:spacing w:after="0" w:line="240" w:lineRule="auto"/>
    </w:pPr>
    <w:rPr>
      <w:rFonts w:ascii="Tahoma" w:eastAsia="Tahoma" w:hAnsi="Tahoma" w:cs="Tahoma"/>
      <w:color w:val="000000"/>
      <w:kern w:val="0"/>
      <w:sz w:val="24"/>
      <w:szCs w:val="24"/>
      <w:lang w:eastAsia="ru-RU" w:bidi="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67A9"/>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C567A9"/>
    <w:rPr>
      <w:rFonts w:ascii="Times New Roman" w:eastAsia="Times New Roman" w:hAnsi="Times New Roman" w:cs="Times New Roman"/>
      <w:b/>
      <w:bCs/>
      <w:sz w:val="28"/>
      <w:szCs w:val="28"/>
      <w:shd w:val="clear" w:color="auto" w:fill="FFFFFF"/>
    </w:rPr>
  </w:style>
  <w:style w:type="character" w:customStyle="1" w:styleId="a3">
    <w:name w:val="Колонтитул_"/>
    <w:basedOn w:val="a0"/>
    <w:link w:val="a4"/>
    <w:rsid w:val="00C567A9"/>
    <w:rPr>
      <w:rFonts w:ascii="Times New Roman" w:eastAsia="Times New Roman" w:hAnsi="Times New Roman" w:cs="Times New Roman"/>
      <w:shd w:val="clear" w:color="auto" w:fill="FFFFFF"/>
    </w:rPr>
  </w:style>
  <w:style w:type="character" w:customStyle="1" w:styleId="23">
    <w:name w:val="Основной текст (2) + Курсив"/>
    <w:basedOn w:val="2"/>
    <w:rsid w:val="00C567A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3pt">
    <w:name w:val="Колонтитул + 13 pt"/>
    <w:basedOn w:val="a3"/>
    <w:rsid w:val="00C567A9"/>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4">
    <w:name w:val="Основной текст (2) + Полужирный"/>
    <w:basedOn w:val="2"/>
    <w:rsid w:val="00C567A9"/>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Cambria17pt0pt">
    <w:name w:val="Основной текст (2) + Cambria;17 pt;Полужирный;Интервал 0 pt"/>
    <w:basedOn w:val="2"/>
    <w:rsid w:val="00C567A9"/>
    <w:rPr>
      <w:rFonts w:ascii="Cambria" w:eastAsia="Cambria" w:hAnsi="Cambria" w:cs="Cambria"/>
      <w:b/>
      <w:bCs/>
      <w:color w:val="000000"/>
      <w:spacing w:val="-10"/>
      <w:w w:val="100"/>
      <w:position w:val="0"/>
      <w:sz w:val="34"/>
      <w:szCs w:val="34"/>
      <w:shd w:val="clear" w:color="auto" w:fill="FFFFFF"/>
      <w:lang w:val="ru-RU" w:eastAsia="ru-RU" w:bidi="ru-RU"/>
    </w:rPr>
  </w:style>
  <w:style w:type="character" w:customStyle="1" w:styleId="2Cambria">
    <w:name w:val="Основной текст (2) + Cambria;Полужирный"/>
    <w:basedOn w:val="2"/>
    <w:rsid w:val="00C567A9"/>
    <w:rPr>
      <w:rFonts w:ascii="Cambria" w:eastAsia="Cambria" w:hAnsi="Cambria" w:cs="Cambria"/>
      <w:b/>
      <w:bCs/>
      <w:color w:val="000000"/>
      <w:spacing w:val="0"/>
      <w:w w:val="100"/>
      <w:position w:val="0"/>
      <w:sz w:val="28"/>
      <w:szCs w:val="28"/>
      <w:shd w:val="clear" w:color="auto" w:fill="FFFFFF"/>
      <w:lang w:val="ru-RU" w:eastAsia="ru-RU" w:bidi="ru-RU"/>
    </w:rPr>
  </w:style>
  <w:style w:type="character" w:customStyle="1" w:styleId="2MicrosoftSansSerif18pt-1pt">
    <w:name w:val="Основной текст (2) + Microsoft Sans Serif;18 pt;Интервал -1 pt"/>
    <w:basedOn w:val="2"/>
    <w:rsid w:val="00C567A9"/>
    <w:rPr>
      <w:rFonts w:ascii="Microsoft Sans Serif" w:eastAsia="Microsoft Sans Serif" w:hAnsi="Microsoft Sans Serif" w:cs="Microsoft Sans Serif"/>
      <w:color w:val="000000"/>
      <w:spacing w:val="-20"/>
      <w:w w:val="100"/>
      <w:position w:val="0"/>
      <w:sz w:val="36"/>
      <w:szCs w:val="36"/>
      <w:shd w:val="clear" w:color="auto" w:fill="FFFFFF"/>
      <w:lang w:val="ru-RU" w:eastAsia="ru-RU" w:bidi="ru-RU"/>
    </w:rPr>
  </w:style>
  <w:style w:type="paragraph" w:customStyle="1" w:styleId="20">
    <w:name w:val="Основной текст (2)"/>
    <w:basedOn w:val="a"/>
    <w:link w:val="2"/>
    <w:rsid w:val="00C567A9"/>
    <w:pPr>
      <w:shd w:val="clear" w:color="auto" w:fill="FFFFFF"/>
      <w:spacing w:after="480" w:line="0" w:lineRule="atLeast"/>
      <w:ind w:hanging="460"/>
      <w:jc w:val="center"/>
    </w:pPr>
    <w:rPr>
      <w:rFonts w:ascii="Times New Roman" w:eastAsia="Times New Roman" w:hAnsi="Times New Roman" w:cs="Times New Roman"/>
      <w:color w:val="auto"/>
      <w:kern w:val="2"/>
      <w:sz w:val="28"/>
      <w:szCs w:val="28"/>
      <w:lang w:eastAsia="en-US" w:bidi="ar-SA"/>
      <w14:ligatures w14:val="standardContextual"/>
    </w:rPr>
  </w:style>
  <w:style w:type="paragraph" w:customStyle="1" w:styleId="22">
    <w:name w:val="Заголовок №2"/>
    <w:basedOn w:val="a"/>
    <w:link w:val="21"/>
    <w:rsid w:val="00C567A9"/>
    <w:pPr>
      <w:shd w:val="clear" w:color="auto" w:fill="FFFFFF"/>
      <w:spacing w:before="480" w:after="360" w:line="0" w:lineRule="atLeast"/>
      <w:jc w:val="center"/>
      <w:outlineLvl w:val="1"/>
    </w:pPr>
    <w:rPr>
      <w:rFonts w:ascii="Times New Roman" w:eastAsia="Times New Roman" w:hAnsi="Times New Roman" w:cs="Times New Roman"/>
      <w:b/>
      <w:bCs/>
      <w:color w:val="auto"/>
      <w:kern w:val="2"/>
      <w:sz w:val="28"/>
      <w:szCs w:val="28"/>
      <w:lang w:eastAsia="en-US" w:bidi="ar-SA"/>
      <w14:ligatures w14:val="standardContextual"/>
    </w:rPr>
  </w:style>
  <w:style w:type="paragraph" w:customStyle="1" w:styleId="a4">
    <w:name w:val="Колонтитул"/>
    <w:basedOn w:val="a"/>
    <w:link w:val="a3"/>
    <w:rsid w:val="00C567A9"/>
    <w:pPr>
      <w:shd w:val="clear" w:color="auto" w:fill="FFFFFF"/>
      <w:spacing w:line="0" w:lineRule="atLeast"/>
    </w:pPr>
    <w:rPr>
      <w:rFonts w:ascii="Times New Roman" w:eastAsia="Times New Roman" w:hAnsi="Times New Roman" w:cs="Times New Roman"/>
      <w:color w:val="auto"/>
      <w:kern w:val="2"/>
      <w:sz w:val="22"/>
      <w:szCs w:val="22"/>
      <w:lang w:eastAsia="en-US" w:bidi="ar-SA"/>
      <w14:ligatures w14:val="standardContextual"/>
    </w:rPr>
  </w:style>
  <w:style w:type="paragraph" w:styleId="a5">
    <w:name w:val="footer"/>
    <w:basedOn w:val="a"/>
    <w:link w:val="a6"/>
    <w:uiPriority w:val="99"/>
    <w:unhideWhenUsed/>
    <w:rsid w:val="00C567A9"/>
    <w:pPr>
      <w:tabs>
        <w:tab w:val="center" w:pos="4677"/>
        <w:tab w:val="right" w:pos="9355"/>
      </w:tabs>
    </w:pPr>
  </w:style>
  <w:style w:type="character" w:customStyle="1" w:styleId="a6">
    <w:name w:val="Нижний колонтитул Знак"/>
    <w:basedOn w:val="a0"/>
    <w:link w:val="a5"/>
    <w:uiPriority w:val="99"/>
    <w:rsid w:val="00C567A9"/>
    <w:rPr>
      <w:rFonts w:ascii="Tahoma" w:eastAsia="Tahoma" w:hAnsi="Tahoma" w:cs="Tahoma"/>
      <w:color w:val="000000"/>
      <w:kern w:val="0"/>
      <w:sz w:val="24"/>
      <w:szCs w:val="24"/>
      <w:lang w:eastAsia="ru-RU" w:bidi="ru-RU"/>
      <w14:ligatures w14:val="none"/>
    </w:rPr>
  </w:style>
  <w:style w:type="paragraph" w:styleId="a7">
    <w:name w:val="header"/>
    <w:basedOn w:val="a"/>
    <w:link w:val="a8"/>
    <w:uiPriority w:val="99"/>
    <w:unhideWhenUsed/>
    <w:rsid w:val="00C567A9"/>
    <w:pPr>
      <w:tabs>
        <w:tab w:val="center" w:pos="4677"/>
        <w:tab w:val="right" w:pos="9355"/>
      </w:tabs>
    </w:pPr>
  </w:style>
  <w:style w:type="character" w:customStyle="1" w:styleId="a8">
    <w:name w:val="Верхний колонтитул Знак"/>
    <w:basedOn w:val="a0"/>
    <w:link w:val="a7"/>
    <w:uiPriority w:val="99"/>
    <w:rsid w:val="00C567A9"/>
    <w:rPr>
      <w:rFonts w:ascii="Tahoma" w:eastAsia="Tahoma" w:hAnsi="Tahoma" w:cs="Tahoma"/>
      <w:color w:val="000000"/>
      <w:kern w:val="0"/>
      <w:sz w:val="24"/>
      <w:szCs w:val="24"/>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1277</Words>
  <Characters>7282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Gosurburo Karelia</dc:creator>
  <cp:keywords/>
  <dc:description/>
  <cp:lastModifiedBy>Gosurburo Karelia</cp:lastModifiedBy>
  <cp:revision>5</cp:revision>
  <dcterms:created xsi:type="dcterms:W3CDTF">2023-12-04T13:15:00Z</dcterms:created>
  <dcterms:modified xsi:type="dcterms:W3CDTF">2024-01-13T08:38:00Z</dcterms:modified>
</cp:coreProperties>
</file>