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8CAF" w14:textId="77777777" w:rsidR="00107974" w:rsidRDefault="00107974">
      <w:pPr>
        <w:spacing w:before="77" w:after="77" w:line="240" w:lineRule="exact"/>
        <w:rPr>
          <w:sz w:val="19"/>
          <w:szCs w:val="19"/>
        </w:rPr>
      </w:pPr>
    </w:p>
    <w:p w14:paraId="7A12F149" w14:textId="77777777" w:rsidR="00107974" w:rsidRDefault="00107974">
      <w:pPr>
        <w:rPr>
          <w:sz w:val="2"/>
          <w:szCs w:val="2"/>
        </w:rPr>
        <w:sectPr w:rsidR="00107974">
          <w:pgSz w:w="11900" w:h="16840"/>
          <w:pgMar w:top="1437" w:right="0" w:bottom="1601" w:left="0" w:header="0" w:footer="3" w:gutter="0"/>
          <w:cols w:space="720"/>
          <w:noEndnote/>
          <w:docGrid w:linePitch="360"/>
        </w:sectPr>
      </w:pPr>
    </w:p>
    <w:p w14:paraId="43BF63F2" w14:textId="77777777" w:rsidR="00107974" w:rsidRDefault="000C66BB">
      <w:pPr>
        <w:pStyle w:val="20"/>
        <w:shd w:val="clear" w:color="auto" w:fill="auto"/>
        <w:spacing w:after="387"/>
        <w:ind w:left="6520"/>
      </w:pPr>
      <w:r>
        <w:t>Приложение № 15 к Учетной политике ГКУ Республики Карелия «Госюрбюро РК» Приказ от 30.09.2022 г. № 79</w:t>
      </w:r>
    </w:p>
    <w:p w14:paraId="206A2072" w14:textId="77777777" w:rsidR="00107974" w:rsidRDefault="000C66BB">
      <w:pPr>
        <w:pStyle w:val="20"/>
        <w:shd w:val="clear" w:color="auto" w:fill="auto"/>
        <w:spacing w:after="473" w:line="240" w:lineRule="exact"/>
        <w:ind w:right="40"/>
        <w:jc w:val="center"/>
      </w:pPr>
      <w:r>
        <w:t>Положение о комиссии по поступлению и выбытию активов</w:t>
      </w:r>
    </w:p>
    <w:p w14:paraId="226B6D9D" w14:textId="77777777" w:rsidR="00107974" w:rsidRDefault="000C66BB">
      <w:pPr>
        <w:pStyle w:val="20"/>
        <w:numPr>
          <w:ilvl w:val="0"/>
          <w:numId w:val="1"/>
        </w:numPr>
        <w:shd w:val="clear" w:color="auto" w:fill="auto"/>
        <w:tabs>
          <w:tab w:val="left" w:pos="4454"/>
        </w:tabs>
        <w:spacing w:after="326" w:line="240" w:lineRule="exact"/>
        <w:ind w:left="4180"/>
        <w:jc w:val="both"/>
      </w:pPr>
      <w:r>
        <w:t>Общие положения</w:t>
      </w:r>
    </w:p>
    <w:p w14:paraId="0E58DC5B" w14:textId="77777777" w:rsidR="00107974" w:rsidRDefault="000C66BB" w:rsidP="000C66BB">
      <w:pPr>
        <w:pStyle w:val="20"/>
        <w:numPr>
          <w:ilvl w:val="1"/>
          <w:numId w:val="1"/>
        </w:numPr>
        <w:shd w:val="clear" w:color="auto" w:fill="auto"/>
        <w:tabs>
          <w:tab w:val="left" w:pos="1272"/>
        </w:tabs>
        <w:spacing w:after="0"/>
        <w:ind w:firstLine="820"/>
        <w:jc w:val="both"/>
      </w:pPr>
      <w:r>
        <w:t xml:space="preserve">Настоящее Положение разработано в соответствии с федеральными стандартами бухгалтерского учета государственных финансов, в том числе "Концептуальные основы бухгалтерского учета и отчетности организаций государственного сектора", утвержденным приказом Минфина России от 31.12.2016 </w:t>
      </w:r>
      <w:r w:rsidRPr="000C66BB">
        <w:rPr>
          <w:lang w:val="en-US" w:eastAsia="en-US" w:bidi="en-US"/>
        </w:rPr>
        <w:t>N</w:t>
      </w:r>
      <w:r w:rsidRPr="000C66BB">
        <w:rPr>
          <w:lang w:eastAsia="en-US" w:bidi="en-US"/>
        </w:rPr>
        <w:t xml:space="preserve"> </w:t>
      </w:r>
      <w:r>
        <w:t xml:space="preserve">256н; приказами Минфина России от 01.12.2010 </w:t>
      </w:r>
      <w:r w:rsidRPr="000C66BB">
        <w:rPr>
          <w:lang w:val="en-US" w:eastAsia="en-US" w:bidi="en-US"/>
        </w:rPr>
        <w:t>N</w:t>
      </w:r>
      <w:r w:rsidRPr="000C66BB">
        <w:rPr>
          <w:lang w:eastAsia="en-US" w:bidi="en-US"/>
        </w:rPr>
        <w:t xml:space="preserve"> </w:t>
      </w:r>
      <w:r>
        <w:t>157н "Об утверждении Единого плана счетов бухгалтерского учета для органов государственной власти (государственных органов), органов местного</w:t>
      </w:r>
      <w:r>
        <w:tab/>
        <w:t>самоуправления,</w:t>
      </w:r>
      <w:r>
        <w:tab/>
        <w:t>органов</w:t>
      </w:r>
      <w:r>
        <w:tab/>
        <w:t xml:space="preserve">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w:t>
      </w:r>
      <w:r w:rsidRPr="000C66BB">
        <w:rPr>
          <w:lang w:val="en-US" w:eastAsia="en-US" w:bidi="en-US"/>
        </w:rPr>
        <w:t>N</w:t>
      </w:r>
      <w:r w:rsidRPr="000C66BB">
        <w:rPr>
          <w:lang w:eastAsia="en-US" w:bidi="en-US"/>
        </w:rPr>
        <w:t xml:space="preserve"> </w:t>
      </w:r>
      <w:r>
        <w:t xml:space="preserve">162н "Об утверждении Плана счетов бюджетного учета и Инструкции по его применению (далее - Инструкция </w:t>
      </w:r>
      <w:r w:rsidRPr="000C66BB">
        <w:rPr>
          <w:lang w:val="en-US" w:eastAsia="en-US" w:bidi="en-US"/>
        </w:rPr>
        <w:t>N</w:t>
      </w:r>
      <w:r w:rsidRPr="000C66BB">
        <w:rPr>
          <w:lang w:eastAsia="en-US" w:bidi="en-US"/>
        </w:rPr>
        <w:t xml:space="preserve"> </w:t>
      </w:r>
      <w:r>
        <w:t xml:space="preserve">162н); Методическими указаниями по проведению инвентаризации имущества и финансовых обязательств, утвержденных приказом Минфина РФ от 13.06.1995 </w:t>
      </w:r>
      <w:r w:rsidRPr="000C66BB">
        <w:rPr>
          <w:lang w:val="en-US" w:eastAsia="en-US" w:bidi="en-US"/>
        </w:rPr>
        <w:t>N</w:t>
      </w:r>
      <w:r w:rsidRPr="000C66BB">
        <w:rPr>
          <w:lang w:eastAsia="en-US" w:bidi="en-US"/>
        </w:rPr>
        <w:t xml:space="preserve">49; </w:t>
      </w:r>
      <w:r>
        <w:t xml:space="preserve">приказом Минфина России от 30.03.2015 </w:t>
      </w:r>
      <w:r w:rsidRPr="000C66BB">
        <w:rPr>
          <w:lang w:val="en-US" w:eastAsia="en-US" w:bidi="en-US"/>
        </w:rPr>
        <w:t>N</w:t>
      </w:r>
      <w:r w:rsidRPr="000C66BB">
        <w:rPr>
          <w:lang w:eastAsia="en-US" w:bidi="en-US"/>
        </w:rPr>
        <w:t xml:space="preserve"> </w:t>
      </w:r>
      <w:r>
        <w:t xml:space="preserve">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приказом Минфина России от 15.04.2021 </w:t>
      </w:r>
      <w:r w:rsidRPr="000C66BB">
        <w:rPr>
          <w:lang w:val="en-US" w:eastAsia="en-US" w:bidi="en-US"/>
        </w:rPr>
        <w:t>N</w:t>
      </w:r>
      <w:r w:rsidRPr="000C66BB">
        <w:rPr>
          <w:lang w:eastAsia="en-US" w:bidi="en-US"/>
        </w:rPr>
        <w:t xml:space="preserve"> </w:t>
      </w:r>
      <w: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020A4B01" w14:textId="77777777" w:rsidR="00107974" w:rsidRDefault="000C66BB">
      <w:pPr>
        <w:pStyle w:val="20"/>
        <w:numPr>
          <w:ilvl w:val="1"/>
          <w:numId w:val="1"/>
        </w:numPr>
        <w:shd w:val="clear" w:color="auto" w:fill="auto"/>
        <w:tabs>
          <w:tab w:val="left" w:pos="1206"/>
        </w:tabs>
        <w:spacing w:after="0"/>
        <w:ind w:firstLine="820"/>
        <w:jc w:val="both"/>
      </w:pPr>
      <w:r>
        <w:t>Персональный состав комиссии утверждается отдельным приказом начальника Учреждения.</w:t>
      </w:r>
    </w:p>
    <w:p w14:paraId="5FEC24D3" w14:textId="77777777" w:rsidR="00107974" w:rsidRDefault="000C66BB">
      <w:pPr>
        <w:pStyle w:val="20"/>
        <w:numPr>
          <w:ilvl w:val="1"/>
          <w:numId w:val="1"/>
        </w:numPr>
        <w:shd w:val="clear" w:color="auto" w:fill="auto"/>
        <w:tabs>
          <w:tab w:val="left" w:pos="1210"/>
        </w:tabs>
        <w:spacing w:after="0"/>
        <w:ind w:firstLine="820"/>
        <w:jc w:val="both"/>
      </w:pPr>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014DAD17" w14:textId="77777777" w:rsidR="00107974" w:rsidRDefault="000C66BB">
      <w:pPr>
        <w:pStyle w:val="20"/>
        <w:numPr>
          <w:ilvl w:val="1"/>
          <w:numId w:val="1"/>
        </w:numPr>
        <w:shd w:val="clear" w:color="auto" w:fill="auto"/>
        <w:tabs>
          <w:tab w:val="left" w:pos="1277"/>
        </w:tabs>
        <w:spacing w:after="0"/>
        <w:ind w:firstLine="820"/>
        <w:jc w:val="both"/>
      </w:pPr>
      <w:r>
        <w:t>Комиссия проводит заседания по мере необходимости, но не реже 1 раза в квартал.</w:t>
      </w:r>
    </w:p>
    <w:p w14:paraId="1BF60E32" w14:textId="77777777" w:rsidR="00107974" w:rsidRDefault="000C66BB">
      <w:pPr>
        <w:pStyle w:val="20"/>
        <w:numPr>
          <w:ilvl w:val="1"/>
          <w:numId w:val="1"/>
        </w:numPr>
        <w:shd w:val="clear" w:color="auto" w:fill="auto"/>
        <w:tabs>
          <w:tab w:val="left" w:pos="1277"/>
        </w:tabs>
        <w:spacing w:after="0"/>
        <w:ind w:firstLine="820"/>
        <w:jc w:val="both"/>
      </w:pPr>
      <w:r>
        <w:t>Срок рассмотрения комиссией представленных ей документов не должен превышать:</w:t>
      </w:r>
    </w:p>
    <w:p w14:paraId="498B488A" w14:textId="77777777" w:rsidR="00107974" w:rsidRDefault="000C66BB">
      <w:pPr>
        <w:pStyle w:val="20"/>
        <w:shd w:val="clear" w:color="auto" w:fill="auto"/>
        <w:spacing w:after="0"/>
        <w:ind w:firstLine="820"/>
        <w:jc w:val="both"/>
      </w:pPr>
      <w:r>
        <w:t>- 14 дней;</w:t>
      </w:r>
    </w:p>
    <w:p w14:paraId="7F6ABA32" w14:textId="77777777" w:rsidR="00107974" w:rsidRDefault="000C66BB">
      <w:pPr>
        <w:pStyle w:val="20"/>
        <w:numPr>
          <w:ilvl w:val="1"/>
          <w:numId w:val="1"/>
        </w:numPr>
        <w:shd w:val="clear" w:color="auto" w:fill="auto"/>
        <w:tabs>
          <w:tab w:val="left" w:pos="1210"/>
        </w:tabs>
        <w:spacing w:after="0"/>
        <w:ind w:firstLine="820"/>
        <w:jc w:val="both"/>
      </w:pPr>
      <w:r>
        <w:t>Решения комиссии считаются правомочными, если на ее заседании присутствует не менее 50% от общего числа ее членов.</w:t>
      </w:r>
    </w:p>
    <w:p w14:paraId="3C761370" w14:textId="77777777" w:rsidR="00107974" w:rsidRDefault="000C66BB">
      <w:pPr>
        <w:pStyle w:val="20"/>
        <w:numPr>
          <w:ilvl w:val="1"/>
          <w:numId w:val="1"/>
        </w:numPr>
        <w:shd w:val="clear" w:color="auto" w:fill="auto"/>
        <w:tabs>
          <w:tab w:val="left" w:pos="1201"/>
        </w:tabs>
        <w:spacing w:after="0"/>
        <w:ind w:firstLine="820"/>
        <w:jc w:val="both"/>
      </w:pPr>
      <w:r>
        <w:t xml:space="preserve">Комиссия принимает решения по вопросам поступления и выбытия нефинансовых активов, </w:t>
      </w:r>
      <w:r w:rsidR="00596351">
        <w:t>внутреннего перемещения</w:t>
      </w:r>
      <w:r w:rsidR="003117CE">
        <w:t xml:space="preserve"> имущества</w:t>
      </w:r>
      <w:r w:rsidR="00596351">
        <w:t xml:space="preserve">, </w:t>
      </w:r>
      <w:r>
        <w:t>в том числе по обособленным структурным подразделениям и филиалам.</w:t>
      </w:r>
    </w:p>
    <w:p w14:paraId="18D49285" w14:textId="77777777" w:rsidR="00107974" w:rsidRDefault="000C66BB">
      <w:pPr>
        <w:pStyle w:val="20"/>
        <w:numPr>
          <w:ilvl w:val="1"/>
          <w:numId w:val="1"/>
        </w:numPr>
        <w:shd w:val="clear" w:color="auto" w:fill="auto"/>
        <w:tabs>
          <w:tab w:val="left" w:pos="1206"/>
        </w:tabs>
        <w:spacing w:after="0"/>
        <w:ind w:firstLine="820"/>
        <w:jc w:val="both"/>
      </w:pPr>
      <w:r>
        <w:t>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если решение о списании принимается в отношении закрепленных за ним материальных ценностей.</w:t>
      </w:r>
    </w:p>
    <w:p w14:paraId="2E05C232" w14:textId="77777777" w:rsidR="00107974" w:rsidRDefault="000C66BB">
      <w:pPr>
        <w:pStyle w:val="20"/>
        <w:numPr>
          <w:ilvl w:val="1"/>
          <w:numId w:val="1"/>
        </w:numPr>
        <w:shd w:val="clear" w:color="auto" w:fill="auto"/>
        <w:tabs>
          <w:tab w:val="left" w:pos="1206"/>
        </w:tabs>
        <w:spacing w:after="0"/>
        <w:ind w:firstLine="820"/>
        <w:jc w:val="both"/>
      </w:pPr>
      <w:r>
        <w:t>Решение комиссии оформляется унифицированными формами документов, а в случае их отсутствия для данной ситуации - протоколом.</w:t>
      </w:r>
    </w:p>
    <w:p w14:paraId="2DF7D5C0" w14:textId="77777777" w:rsidR="00107974" w:rsidRDefault="000C66BB">
      <w:pPr>
        <w:pStyle w:val="20"/>
        <w:numPr>
          <w:ilvl w:val="1"/>
          <w:numId w:val="1"/>
        </w:numPr>
        <w:shd w:val="clear" w:color="auto" w:fill="auto"/>
        <w:tabs>
          <w:tab w:val="left" w:pos="1316"/>
        </w:tabs>
        <w:spacing w:after="0" w:line="278" w:lineRule="exact"/>
        <w:ind w:firstLine="760"/>
        <w:jc w:val="both"/>
      </w:pPr>
      <w:r>
        <w:lastRenderedPageBreak/>
        <w:t>Оформленные в установленном порядке документы, необходимые для согласования решения о списании имущества, комиссия передает:</w:t>
      </w:r>
    </w:p>
    <w:p w14:paraId="17CFFB92" w14:textId="77777777" w:rsidR="00107974" w:rsidRDefault="000C66BB">
      <w:pPr>
        <w:pStyle w:val="20"/>
        <w:numPr>
          <w:ilvl w:val="0"/>
          <w:numId w:val="2"/>
        </w:numPr>
        <w:shd w:val="clear" w:color="auto" w:fill="auto"/>
        <w:tabs>
          <w:tab w:val="left" w:pos="962"/>
        </w:tabs>
        <w:spacing w:after="0" w:line="278" w:lineRule="exact"/>
        <w:ind w:firstLine="760"/>
        <w:jc w:val="both"/>
      </w:pPr>
      <w:r>
        <w:t>в бухгалтерию учреждения;</w:t>
      </w:r>
    </w:p>
    <w:p w14:paraId="20F2DB32" w14:textId="77777777" w:rsidR="00107974" w:rsidRDefault="000C66BB">
      <w:pPr>
        <w:pStyle w:val="20"/>
        <w:numPr>
          <w:ilvl w:val="0"/>
          <w:numId w:val="2"/>
        </w:numPr>
        <w:shd w:val="clear" w:color="auto" w:fill="auto"/>
        <w:tabs>
          <w:tab w:val="left" w:pos="962"/>
        </w:tabs>
        <w:spacing w:after="91" w:line="278" w:lineRule="exact"/>
        <w:ind w:firstLine="760"/>
        <w:jc w:val="both"/>
      </w:pPr>
      <w:r>
        <w:t>ответственным лицам;</w:t>
      </w:r>
    </w:p>
    <w:p w14:paraId="1FCFC7C3" w14:textId="77777777" w:rsidR="000C66BB" w:rsidRDefault="000C66BB" w:rsidP="000C66BB">
      <w:pPr>
        <w:pStyle w:val="20"/>
        <w:shd w:val="clear" w:color="auto" w:fill="auto"/>
        <w:tabs>
          <w:tab w:val="left" w:pos="962"/>
        </w:tabs>
        <w:spacing w:after="91" w:line="278" w:lineRule="exact"/>
        <w:ind w:left="760"/>
        <w:jc w:val="both"/>
      </w:pPr>
    </w:p>
    <w:p w14:paraId="012F38F8" w14:textId="77777777" w:rsidR="00107974" w:rsidRDefault="000C66BB" w:rsidP="000C66BB">
      <w:pPr>
        <w:pStyle w:val="20"/>
        <w:numPr>
          <w:ilvl w:val="0"/>
          <w:numId w:val="1"/>
        </w:numPr>
        <w:shd w:val="clear" w:color="auto" w:fill="auto"/>
        <w:tabs>
          <w:tab w:val="left" w:pos="957"/>
        </w:tabs>
        <w:spacing w:after="371" w:line="240" w:lineRule="exact"/>
        <w:ind w:left="620"/>
        <w:jc w:val="center"/>
      </w:pPr>
      <w:r>
        <w:t>Принятие решений при поступлении нефинансовых активов и в ходе их эксплуатации</w:t>
      </w:r>
    </w:p>
    <w:p w14:paraId="0BA92D42" w14:textId="77777777" w:rsidR="00107974" w:rsidRDefault="000C66BB">
      <w:pPr>
        <w:pStyle w:val="20"/>
        <w:numPr>
          <w:ilvl w:val="1"/>
          <w:numId w:val="1"/>
        </w:numPr>
        <w:shd w:val="clear" w:color="auto" w:fill="auto"/>
        <w:tabs>
          <w:tab w:val="left" w:pos="1241"/>
        </w:tabs>
        <w:spacing w:after="0"/>
        <w:ind w:firstLine="760"/>
        <w:jc w:val="both"/>
      </w:pPr>
      <w:r>
        <w:t>Комиссия принимает решения по следующим вопросам:</w:t>
      </w:r>
    </w:p>
    <w:p w14:paraId="7439E210" w14:textId="77777777" w:rsidR="00107974" w:rsidRDefault="000C66BB">
      <w:pPr>
        <w:pStyle w:val="20"/>
        <w:numPr>
          <w:ilvl w:val="0"/>
          <w:numId w:val="3"/>
        </w:numPr>
        <w:shd w:val="clear" w:color="auto" w:fill="auto"/>
        <w:tabs>
          <w:tab w:val="left" w:pos="1063"/>
        </w:tabs>
        <w:spacing w:after="0"/>
        <w:ind w:firstLine="760"/>
        <w:jc w:val="both"/>
      </w:pPr>
      <w:r>
        <w:t>выявление при приемке нефинансовых активов ненадлежащего качества;</w:t>
      </w:r>
    </w:p>
    <w:p w14:paraId="6BA28824" w14:textId="77777777" w:rsidR="00107974" w:rsidRDefault="000C66BB">
      <w:pPr>
        <w:pStyle w:val="20"/>
        <w:numPr>
          <w:ilvl w:val="0"/>
          <w:numId w:val="3"/>
        </w:numPr>
        <w:shd w:val="clear" w:color="auto" w:fill="auto"/>
        <w:tabs>
          <w:tab w:val="left" w:pos="1033"/>
        </w:tabs>
        <w:spacing w:after="0"/>
        <w:ind w:firstLine="760"/>
        <w:jc w:val="both"/>
      </w:pPr>
      <w:r>
        <w:t>определение категории поступающего имущества (основные средства, нематериальные активы, непроизведенные активы или материальные запасы);</w:t>
      </w:r>
    </w:p>
    <w:p w14:paraId="554DCD21" w14:textId="77777777" w:rsidR="00107974" w:rsidRDefault="000C66BB">
      <w:pPr>
        <w:pStyle w:val="20"/>
        <w:numPr>
          <w:ilvl w:val="0"/>
          <w:numId w:val="3"/>
        </w:numPr>
        <w:shd w:val="clear" w:color="auto" w:fill="auto"/>
        <w:tabs>
          <w:tab w:val="left" w:pos="1042"/>
        </w:tabs>
        <w:spacing w:after="0"/>
        <w:ind w:firstLine="760"/>
        <w:jc w:val="both"/>
      </w:pPr>
      <w:r>
        <w:t>принятие к учету и выбытие основных средств, нематериальных активов (включая неисключительные права пользования нематериальными активами), непроизведенных активов, материальных запасов, в отношении которых установлен срок эксплуатации (непотребляемых М3), а также потребляемых М3 по стоимости, сформированной при их приобретении (по нескольким договорам);</w:t>
      </w:r>
    </w:p>
    <w:p w14:paraId="24C3552A" w14:textId="77777777" w:rsidR="00107974" w:rsidRDefault="000C66BB">
      <w:pPr>
        <w:pStyle w:val="20"/>
        <w:numPr>
          <w:ilvl w:val="0"/>
          <w:numId w:val="3"/>
        </w:numPr>
        <w:shd w:val="clear" w:color="auto" w:fill="auto"/>
        <w:tabs>
          <w:tab w:val="left" w:pos="1038"/>
        </w:tabs>
        <w:spacing w:after="0"/>
        <w:ind w:firstLine="760"/>
        <w:jc w:val="both"/>
      </w:pPr>
      <w:r>
        <w:t>определение первоначальной (фактической) стоимости поступающих в учреждение нефинансовых активов в установленных случаях;</w:t>
      </w:r>
    </w:p>
    <w:p w14:paraId="74A6EE7E" w14:textId="77777777" w:rsidR="00107974" w:rsidRDefault="000C66BB">
      <w:pPr>
        <w:pStyle w:val="20"/>
        <w:numPr>
          <w:ilvl w:val="0"/>
          <w:numId w:val="3"/>
        </w:numPr>
        <w:shd w:val="clear" w:color="auto" w:fill="auto"/>
        <w:tabs>
          <w:tab w:val="left" w:pos="1047"/>
        </w:tabs>
        <w:spacing w:after="0"/>
        <w:ind w:firstLine="760"/>
        <w:jc w:val="both"/>
      </w:pPr>
      <w:r>
        <w:t>выбор метода и определение справедливой стоимости активов в установленных нормативными актами и Учетной политикой случаях;</w:t>
      </w:r>
    </w:p>
    <w:p w14:paraId="4318477E" w14:textId="77777777" w:rsidR="00107974" w:rsidRDefault="000C66BB">
      <w:pPr>
        <w:pStyle w:val="20"/>
        <w:numPr>
          <w:ilvl w:val="0"/>
          <w:numId w:val="3"/>
        </w:numPr>
        <w:shd w:val="clear" w:color="auto" w:fill="auto"/>
        <w:tabs>
          <w:tab w:val="left" w:pos="1047"/>
        </w:tabs>
        <w:spacing w:after="0"/>
        <w:ind w:firstLine="760"/>
        <w:jc w:val="both"/>
      </w:pPr>
      <w:r>
        <w:t>изменение первоначальной (фактической) стоимости нефинансовых активов учреждения и сроков их полезного использования, обесценение основных средств, нематериальных активов, непроизведенных активов, прав пользования нематериальными активами;</w:t>
      </w:r>
    </w:p>
    <w:p w14:paraId="157B8006" w14:textId="77777777" w:rsidR="00107974" w:rsidRDefault="000C66BB">
      <w:pPr>
        <w:pStyle w:val="20"/>
        <w:numPr>
          <w:ilvl w:val="0"/>
          <w:numId w:val="3"/>
        </w:numPr>
        <w:shd w:val="clear" w:color="auto" w:fill="auto"/>
        <w:tabs>
          <w:tab w:val="left" w:pos="1052"/>
        </w:tabs>
        <w:spacing w:after="0"/>
        <w:ind w:firstLine="760"/>
        <w:jc w:val="both"/>
      </w:pPr>
      <w:r>
        <w:t>проверка кадастровой стоимости земельных участков и объектов недвижимости, которые учитываются в бухгалтерском учете по кадастровой стоимости;</w:t>
      </w:r>
    </w:p>
    <w:p w14:paraId="3DEB1217" w14:textId="77777777" w:rsidR="00107974" w:rsidRDefault="000C66BB">
      <w:pPr>
        <w:pStyle w:val="20"/>
        <w:numPr>
          <w:ilvl w:val="0"/>
          <w:numId w:val="3"/>
        </w:numPr>
        <w:shd w:val="clear" w:color="auto" w:fill="auto"/>
        <w:tabs>
          <w:tab w:val="left" w:pos="1052"/>
        </w:tabs>
        <w:spacing w:after="0"/>
        <w:ind w:firstLine="760"/>
        <w:jc w:val="both"/>
      </w:pPr>
      <w:r>
        <w:t>контроль за обозначением ответственными лицами инвентарных номеров на соответствующих объектах основных средств;</w:t>
      </w:r>
    </w:p>
    <w:p w14:paraId="7E21C0C3" w14:textId="77777777" w:rsidR="00107974" w:rsidRDefault="000C66BB">
      <w:pPr>
        <w:pStyle w:val="20"/>
        <w:numPr>
          <w:ilvl w:val="0"/>
          <w:numId w:val="3"/>
        </w:numPr>
        <w:shd w:val="clear" w:color="auto" w:fill="auto"/>
        <w:tabs>
          <w:tab w:val="left" w:pos="1042"/>
        </w:tabs>
        <w:spacing w:after="0"/>
        <w:ind w:firstLine="760"/>
        <w:jc w:val="both"/>
      </w:pPr>
      <w:r>
        <w:t>другие решения, необходимые при поступлении и в ходе эксплуатации нефинансовых активов.</w:t>
      </w:r>
    </w:p>
    <w:p w14:paraId="6FECF2D2" w14:textId="77777777" w:rsidR="00107974" w:rsidRDefault="000C66BB">
      <w:pPr>
        <w:pStyle w:val="20"/>
        <w:numPr>
          <w:ilvl w:val="1"/>
          <w:numId w:val="1"/>
        </w:numPr>
        <w:shd w:val="clear" w:color="auto" w:fill="auto"/>
        <w:tabs>
          <w:tab w:val="left" w:pos="1196"/>
        </w:tabs>
        <w:spacing w:after="0"/>
        <w:ind w:firstLine="760"/>
        <w:jc w:val="both"/>
      </w:pPr>
      <w:r>
        <w:t>В случае выявления нефинансовых активов ненадлежащего качества при их приемке комиссией оформляется Акт приемки товаров, работ, услуг (ф. 0510452)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p w14:paraId="702C5766" w14:textId="77777777" w:rsidR="00107974" w:rsidRDefault="000C66BB">
      <w:pPr>
        <w:pStyle w:val="20"/>
        <w:numPr>
          <w:ilvl w:val="1"/>
          <w:numId w:val="1"/>
        </w:numPr>
        <w:shd w:val="clear" w:color="auto" w:fill="auto"/>
        <w:tabs>
          <w:tab w:val="left" w:pos="1201"/>
        </w:tabs>
        <w:spacing w:after="0"/>
        <w:ind w:firstLine="760"/>
        <w:jc w:val="both"/>
      </w:pPr>
      <w:r>
        <w:t>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14:paraId="7021E0A8" w14:textId="77777777" w:rsidR="00107974" w:rsidRDefault="000C66BB">
      <w:pPr>
        <w:pStyle w:val="20"/>
        <w:numPr>
          <w:ilvl w:val="1"/>
          <w:numId w:val="1"/>
        </w:numPr>
        <w:shd w:val="clear" w:color="auto" w:fill="auto"/>
        <w:tabs>
          <w:tab w:val="left" w:pos="1206"/>
        </w:tabs>
        <w:spacing w:after="0"/>
        <w:ind w:firstLine="760"/>
        <w:jc w:val="both"/>
      </w:pPr>
      <w:r>
        <w:t xml:space="preserve">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положений федеральных стандартов бухгалтерского учета государственных финансов, Инструкции </w:t>
      </w:r>
      <w:r>
        <w:rPr>
          <w:lang w:val="en-US" w:eastAsia="en-US" w:bidi="en-US"/>
        </w:rPr>
        <w:t>N</w:t>
      </w:r>
      <w:r w:rsidRPr="000C66BB">
        <w:rPr>
          <w:lang w:eastAsia="en-US" w:bidi="en-US"/>
        </w:rPr>
        <w:t xml:space="preserve"> </w:t>
      </w:r>
      <w:r>
        <w:t>157н, а также соответствующих положений Учетной политики для целей бухгалтерского учета.</w:t>
      </w:r>
    </w:p>
    <w:p w14:paraId="5EB48FEE" w14:textId="77777777" w:rsidR="00107974" w:rsidRDefault="000C66BB">
      <w:pPr>
        <w:pStyle w:val="20"/>
        <w:numPr>
          <w:ilvl w:val="1"/>
          <w:numId w:val="1"/>
        </w:numPr>
        <w:shd w:val="clear" w:color="auto" w:fill="auto"/>
        <w:tabs>
          <w:tab w:val="left" w:pos="1201"/>
        </w:tabs>
        <w:spacing w:after="0"/>
        <w:ind w:firstLine="760"/>
        <w:jc w:val="both"/>
      </w:pPr>
      <w:r>
        <w:t xml:space="preserve">Решение о сроках полезного использования поступивших в учреждение основных средств, нематериальных активов, используемых свыше 12 месяцев </w:t>
      </w:r>
      <w:proofErr w:type="gramStart"/>
      <w:r>
        <w:t>материальных запасов</w:t>
      </w:r>
      <w:proofErr w:type="gramEnd"/>
      <w:r>
        <w:t xml:space="preserve"> принимается комиссией в соответствии с требованиями федеральных стандартов бухгалтерского учета государственных финансов, Инструкции </w:t>
      </w:r>
      <w:r>
        <w:rPr>
          <w:lang w:val="en-US" w:eastAsia="en-US" w:bidi="en-US"/>
        </w:rPr>
        <w:t>N</w:t>
      </w:r>
      <w:r w:rsidRPr="000C66BB">
        <w:rPr>
          <w:lang w:eastAsia="en-US" w:bidi="en-US"/>
        </w:rPr>
        <w:t xml:space="preserve"> </w:t>
      </w:r>
      <w:r>
        <w:t>157н, а также согласно положениям Учетной политики для целей бухгалтерского учета.</w:t>
      </w:r>
    </w:p>
    <w:p w14:paraId="500283E3" w14:textId="77777777" w:rsidR="00107974" w:rsidRDefault="000C66BB">
      <w:pPr>
        <w:pStyle w:val="20"/>
        <w:numPr>
          <w:ilvl w:val="1"/>
          <w:numId w:val="1"/>
        </w:numPr>
        <w:shd w:val="clear" w:color="auto" w:fill="auto"/>
        <w:tabs>
          <w:tab w:val="left" w:pos="1206"/>
        </w:tabs>
        <w:spacing w:after="0"/>
        <w:ind w:firstLine="760"/>
        <w:jc w:val="both"/>
      </w:pPr>
      <w:r>
        <w:t xml:space="preserve">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w:t>
      </w:r>
      <w:r>
        <w:lastRenderedPageBreak/>
        <w:t xml:space="preserve">других сопроводительных документов поставщиков (исполнителей)) согласно требованиям федеральных стандартов бухгалтерского учета государственных финансов, Инструкции </w:t>
      </w:r>
      <w:r>
        <w:rPr>
          <w:lang w:val="en-US" w:eastAsia="en-US" w:bidi="en-US"/>
        </w:rPr>
        <w:t>N</w:t>
      </w:r>
      <w:r w:rsidRPr="000C66BB">
        <w:rPr>
          <w:lang w:eastAsia="en-US" w:bidi="en-US"/>
        </w:rPr>
        <w:t xml:space="preserve"> </w:t>
      </w:r>
      <w:r>
        <w:t>157н и положениям Учетной политики для целей бухгалтерского учета.</w:t>
      </w:r>
    </w:p>
    <w:p w14:paraId="0B8A80EC" w14:textId="77777777" w:rsidR="00107974" w:rsidRDefault="000C66BB">
      <w:pPr>
        <w:pStyle w:val="20"/>
        <w:numPr>
          <w:ilvl w:val="1"/>
          <w:numId w:val="1"/>
        </w:numPr>
        <w:shd w:val="clear" w:color="auto" w:fill="auto"/>
        <w:tabs>
          <w:tab w:val="left" w:pos="1223"/>
        </w:tabs>
        <w:spacing w:after="0"/>
        <w:ind w:firstLine="760"/>
        <w:jc w:val="both"/>
      </w:pPr>
      <w:r>
        <w:t xml:space="preserve">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бухгалтерского учета государственных финансов, Инструкцией </w:t>
      </w:r>
      <w:r>
        <w:rPr>
          <w:lang w:val="en-US" w:eastAsia="en-US" w:bidi="en-US"/>
        </w:rPr>
        <w:t>N</w:t>
      </w:r>
      <w:r w:rsidRPr="000C66BB">
        <w:rPr>
          <w:lang w:eastAsia="en-US" w:bidi="en-US"/>
        </w:rPr>
        <w:t xml:space="preserve"> </w:t>
      </w:r>
      <w:r>
        <w:t>157н и Учетной политикой для целей бухгалтерского учета.</w:t>
      </w:r>
    </w:p>
    <w:p w14:paraId="5B808EF6" w14:textId="77777777" w:rsidR="00107974" w:rsidRDefault="000C66BB">
      <w:pPr>
        <w:pStyle w:val="20"/>
        <w:numPr>
          <w:ilvl w:val="1"/>
          <w:numId w:val="1"/>
        </w:numPr>
        <w:shd w:val="clear" w:color="auto" w:fill="auto"/>
        <w:tabs>
          <w:tab w:val="left" w:pos="1223"/>
        </w:tabs>
        <w:spacing w:after="0"/>
        <w:ind w:firstLine="760"/>
        <w:jc w:val="both"/>
      </w:pPr>
      <w:r>
        <w:t>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принятие к учету осуществляется по стоимости, отраженной в передаточных документах.</w:t>
      </w:r>
    </w:p>
    <w:p w14:paraId="6DF95A2B" w14:textId="77777777" w:rsidR="00107974" w:rsidRDefault="000C66BB">
      <w:pPr>
        <w:pStyle w:val="20"/>
        <w:numPr>
          <w:ilvl w:val="1"/>
          <w:numId w:val="1"/>
        </w:numPr>
        <w:shd w:val="clear" w:color="auto" w:fill="auto"/>
        <w:tabs>
          <w:tab w:val="left" w:pos="1223"/>
        </w:tabs>
        <w:spacing w:after="0"/>
        <w:ind w:firstLine="760"/>
        <w:jc w:val="both"/>
      </w:pPr>
      <w:r>
        <w:t>При поступлении объектов нефинансовых активов по договорам дарения (пожертвования) от юридических лиц, не относящихся к бюджетной сфере, и физических лиц, при поступлении в результате других необменных операций стоимость для постановки на учет определяется так:</w:t>
      </w:r>
    </w:p>
    <w:p w14:paraId="1205058E" w14:textId="77777777" w:rsidR="00107974" w:rsidRDefault="000C66BB">
      <w:pPr>
        <w:pStyle w:val="20"/>
        <w:numPr>
          <w:ilvl w:val="0"/>
          <w:numId w:val="2"/>
        </w:numPr>
        <w:shd w:val="clear" w:color="auto" w:fill="auto"/>
        <w:tabs>
          <w:tab w:val="left" w:pos="963"/>
        </w:tabs>
        <w:spacing w:after="0"/>
        <w:ind w:firstLine="760"/>
        <w:jc w:val="both"/>
      </w:pPr>
      <w:r>
        <w:t>устанавливается справедливая стоимость методом рыночных цен либо выбирается стоимость, отраженная в документах на передачу активов;</w:t>
      </w:r>
    </w:p>
    <w:p w14:paraId="65B2DBA5" w14:textId="77777777" w:rsidR="00107974" w:rsidRDefault="000C66BB">
      <w:pPr>
        <w:pStyle w:val="20"/>
        <w:numPr>
          <w:ilvl w:val="0"/>
          <w:numId w:val="2"/>
        </w:numPr>
        <w:shd w:val="clear" w:color="auto" w:fill="auto"/>
        <w:tabs>
          <w:tab w:val="left" w:pos="963"/>
        </w:tabs>
        <w:spacing w:after="0"/>
        <w:ind w:firstLine="760"/>
        <w:jc w:val="both"/>
      </w:pPr>
      <w:r>
        <w:t>если указанные способы неприменимы, то объект ставится на баланс по стоимости, по которой был учтен у предыдущего правообладателя (балансодержателя);</w:t>
      </w:r>
    </w:p>
    <w:p w14:paraId="19A13896" w14:textId="77777777" w:rsidR="00107974" w:rsidRDefault="000C66BB">
      <w:pPr>
        <w:pStyle w:val="20"/>
        <w:numPr>
          <w:ilvl w:val="0"/>
          <w:numId w:val="2"/>
        </w:numPr>
        <w:shd w:val="clear" w:color="auto" w:fill="auto"/>
        <w:tabs>
          <w:tab w:val="left" w:pos="963"/>
        </w:tabs>
        <w:spacing w:after="0"/>
        <w:ind w:firstLine="760"/>
        <w:jc w:val="both"/>
      </w:pPr>
      <w:r>
        <w:t>в противном случае первоначальная стоимость признается в условной оценке - од</w:t>
      </w:r>
      <w:r>
        <w:rPr>
          <w:rStyle w:val="21"/>
        </w:rPr>
        <w:t>и</w:t>
      </w:r>
      <w:r>
        <w:t>н объект, один рубль.</w:t>
      </w:r>
    </w:p>
    <w:p w14:paraId="59049EB1" w14:textId="77777777" w:rsidR="00107974" w:rsidRDefault="000C66BB">
      <w:pPr>
        <w:pStyle w:val="20"/>
        <w:numPr>
          <w:ilvl w:val="1"/>
          <w:numId w:val="1"/>
        </w:numPr>
        <w:shd w:val="clear" w:color="auto" w:fill="auto"/>
        <w:tabs>
          <w:tab w:val="left" w:pos="1330"/>
        </w:tabs>
        <w:spacing w:after="0"/>
        <w:ind w:firstLine="760"/>
        <w:jc w:val="both"/>
      </w:pPr>
      <w:r>
        <w:t>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2148E217" w14:textId="77777777" w:rsidR="00107974" w:rsidRDefault="000C66BB">
      <w:pPr>
        <w:pStyle w:val="20"/>
        <w:shd w:val="clear" w:color="auto" w:fill="auto"/>
        <w:spacing w:after="0"/>
        <w:ind w:firstLine="760"/>
        <w:jc w:val="both"/>
      </w:pPr>
      <w:r>
        <w:t xml:space="preserve">(Основание: п. 220 Инструкции </w:t>
      </w:r>
      <w:r>
        <w:rPr>
          <w:lang w:val="en-US" w:eastAsia="en-US" w:bidi="en-US"/>
        </w:rPr>
        <w:t>N</w:t>
      </w:r>
      <w:r w:rsidRPr="000C66BB">
        <w:rPr>
          <w:lang w:eastAsia="en-US" w:bidi="en-US"/>
        </w:rPr>
        <w:t xml:space="preserve"> </w:t>
      </w:r>
      <w:r>
        <w:t>157н)</w:t>
      </w:r>
    </w:p>
    <w:p w14:paraId="04165484" w14:textId="77777777" w:rsidR="00107974" w:rsidRDefault="000C66BB">
      <w:pPr>
        <w:pStyle w:val="20"/>
        <w:numPr>
          <w:ilvl w:val="1"/>
          <w:numId w:val="1"/>
        </w:numPr>
        <w:shd w:val="clear" w:color="auto" w:fill="auto"/>
        <w:tabs>
          <w:tab w:val="left" w:pos="1335"/>
        </w:tabs>
        <w:spacing w:after="0"/>
        <w:ind w:firstLine="760"/>
        <w:jc w:val="both"/>
      </w:pPr>
      <w:r>
        <w:t>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14:paraId="67B4FC5B" w14:textId="77777777" w:rsidR="00107974" w:rsidRDefault="000C66BB">
      <w:pPr>
        <w:pStyle w:val="20"/>
        <w:numPr>
          <w:ilvl w:val="1"/>
          <w:numId w:val="1"/>
        </w:numPr>
        <w:shd w:val="clear" w:color="auto" w:fill="auto"/>
        <w:tabs>
          <w:tab w:val="left" w:pos="1326"/>
        </w:tabs>
        <w:spacing w:after="0"/>
        <w:ind w:firstLine="760"/>
        <w:jc w:val="both"/>
      </w:pPr>
      <w:r>
        <w:t>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w:t>
      </w:r>
    </w:p>
    <w:p w14:paraId="254215F0" w14:textId="77777777" w:rsidR="00107974" w:rsidRDefault="000C66BB">
      <w:pPr>
        <w:pStyle w:val="20"/>
        <w:shd w:val="clear" w:color="auto" w:fill="auto"/>
        <w:spacing w:after="0"/>
        <w:ind w:firstLine="760"/>
        <w:jc w:val="both"/>
      </w:pPr>
      <w:r>
        <w:t xml:space="preserve">(Основание: п. 19 Стандарта "Основные средства", </w:t>
      </w:r>
      <w:proofErr w:type="spellStart"/>
      <w:r>
        <w:t>пп</w:t>
      </w:r>
      <w:proofErr w:type="spellEnd"/>
      <w:r>
        <w:t xml:space="preserve">. 27, 69, 120 Инструкции </w:t>
      </w:r>
      <w:r>
        <w:rPr>
          <w:lang w:val="en-US" w:eastAsia="en-US" w:bidi="en-US"/>
        </w:rPr>
        <w:t>N</w:t>
      </w:r>
      <w:r w:rsidRPr="000C66BB">
        <w:rPr>
          <w:lang w:eastAsia="en-US" w:bidi="en-US"/>
        </w:rPr>
        <w:t xml:space="preserve"> </w:t>
      </w:r>
      <w:r>
        <w:t>157н)</w:t>
      </w:r>
    </w:p>
    <w:p w14:paraId="73505AB9" w14:textId="77777777" w:rsidR="00107974" w:rsidRDefault="000C66BB">
      <w:pPr>
        <w:pStyle w:val="20"/>
        <w:numPr>
          <w:ilvl w:val="1"/>
          <w:numId w:val="1"/>
        </w:numPr>
        <w:shd w:val="clear" w:color="auto" w:fill="auto"/>
        <w:tabs>
          <w:tab w:val="left" w:pos="1330"/>
        </w:tabs>
        <w:spacing w:after="0"/>
        <w:ind w:firstLine="760"/>
        <w:jc w:val="both"/>
      </w:pPr>
      <w:r>
        <w:t>Уполномоченный член комиссии контролирует нанесение ответственным лицом присвоенных объектам основных средств инвентарных номеров.</w:t>
      </w:r>
    </w:p>
    <w:p w14:paraId="6CB5506F" w14:textId="77777777" w:rsidR="00107974" w:rsidRDefault="000C66BB">
      <w:pPr>
        <w:pStyle w:val="20"/>
        <w:shd w:val="clear" w:color="auto" w:fill="auto"/>
        <w:spacing w:after="0"/>
        <w:ind w:firstLine="760"/>
        <w:jc w:val="both"/>
      </w:pPr>
      <w:r>
        <w:t xml:space="preserve">(Основание: п. 46 Инструкции </w:t>
      </w:r>
      <w:r>
        <w:rPr>
          <w:lang w:val="en-US" w:eastAsia="en-US" w:bidi="en-US"/>
        </w:rPr>
        <w:t>N</w:t>
      </w:r>
      <w:r w:rsidRPr="000C66BB">
        <w:rPr>
          <w:lang w:eastAsia="en-US" w:bidi="en-US"/>
        </w:rPr>
        <w:t xml:space="preserve"> </w:t>
      </w:r>
      <w:r>
        <w:t>157н)</w:t>
      </w:r>
    </w:p>
    <w:p w14:paraId="02DB9B74" w14:textId="77777777" w:rsidR="00107974" w:rsidRDefault="000C66BB">
      <w:pPr>
        <w:pStyle w:val="20"/>
        <w:numPr>
          <w:ilvl w:val="1"/>
          <w:numId w:val="1"/>
        </w:numPr>
        <w:shd w:val="clear" w:color="auto" w:fill="auto"/>
        <w:tabs>
          <w:tab w:val="left" w:pos="1330"/>
        </w:tabs>
        <w:spacing w:after="87"/>
        <w:ind w:firstLine="760"/>
        <w:jc w:val="both"/>
      </w:pPr>
      <w:r>
        <w:t>При поступлении нефинансовых активов, а также в ходе их эксплуатации (использования) комиссией оформляются первичные документы в соответствии с графиком документооборота.</w:t>
      </w:r>
    </w:p>
    <w:p w14:paraId="3DE75E9F" w14:textId="77777777" w:rsidR="00107974" w:rsidRDefault="000C66BB">
      <w:pPr>
        <w:pStyle w:val="20"/>
        <w:numPr>
          <w:ilvl w:val="0"/>
          <w:numId w:val="1"/>
        </w:numPr>
        <w:shd w:val="clear" w:color="auto" w:fill="auto"/>
        <w:tabs>
          <w:tab w:val="left" w:pos="3289"/>
        </w:tabs>
        <w:spacing w:after="316" w:line="240" w:lineRule="exact"/>
        <w:ind w:left="3000"/>
        <w:jc w:val="both"/>
      </w:pPr>
      <w:r>
        <w:t>Принятие решений по выбытию активов</w:t>
      </w:r>
    </w:p>
    <w:p w14:paraId="7025DD6B" w14:textId="77777777" w:rsidR="00107974" w:rsidRDefault="000C66BB">
      <w:pPr>
        <w:pStyle w:val="20"/>
        <w:numPr>
          <w:ilvl w:val="1"/>
          <w:numId w:val="1"/>
        </w:numPr>
        <w:shd w:val="clear" w:color="auto" w:fill="auto"/>
        <w:tabs>
          <w:tab w:val="left" w:pos="1236"/>
        </w:tabs>
        <w:spacing w:after="0"/>
        <w:ind w:firstLine="760"/>
        <w:jc w:val="both"/>
      </w:pPr>
      <w:r>
        <w:t>При выбытии (списании) активов комиссия осуществляет следующие полномочия:</w:t>
      </w:r>
    </w:p>
    <w:p w14:paraId="77AC32AD" w14:textId="77777777" w:rsidR="00107974" w:rsidRDefault="000C66BB">
      <w:pPr>
        <w:pStyle w:val="20"/>
        <w:numPr>
          <w:ilvl w:val="0"/>
          <w:numId w:val="4"/>
        </w:numPr>
        <w:shd w:val="clear" w:color="auto" w:fill="auto"/>
        <w:tabs>
          <w:tab w:val="left" w:pos="1058"/>
        </w:tabs>
        <w:spacing w:after="0"/>
        <w:ind w:firstLine="760"/>
        <w:jc w:val="both"/>
      </w:pPr>
      <w:r>
        <w:t>осмотр имущества;</w:t>
      </w:r>
    </w:p>
    <w:p w14:paraId="24210AC4" w14:textId="77777777" w:rsidR="00107974" w:rsidRDefault="000C66BB">
      <w:pPr>
        <w:pStyle w:val="20"/>
        <w:numPr>
          <w:ilvl w:val="0"/>
          <w:numId w:val="4"/>
        </w:numPr>
        <w:shd w:val="clear" w:color="auto" w:fill="auto"/>
        <w:tabs>
          <w:tab w:val="left" w:pos="1047"/>
        </w:tabs>
        <w:spacing w:after="0"/>
        <w:ind w:firstLine="760"/>
        <w:jc w:val="both"/>
      </w:pPr>
      <w:r>
        <w:t>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w:t>
      </w:r>
    </w:p>
    <w:p w14:paraId="22A6B4AE" w14:textId="77777777" w:rsidR="00107974" w:rsidRDefault="000C66BB">
      <w:pPr>
        <w:pStyle w:val="20"/>
        <w:shd w:val="clear" w:color="auto" w:fill="auto"/>
        <w:spacing w:after="0"/>
        <w:jc w:val="left"/>
      </w:pPr>
      <w:r>
        <w:lastRenderedPageBreak/>
        <w:t>материалов);</w:t>
      </w:r>
    </w:p>
    <w:p w14:paraId="706E48E1" w14:textId="77777777" w:rsidR="00107974" w:rsidRDefault="000C66BB">
      <w:pPr>
        <w:pStyle w:val="20"/>
        <w:numPr>
          <w:ilvl w:val="0"/>
          <w:numId w:val="4"/>
        </w:numPr>
        <w:shd w:val="clear" w:color="auto" w:fill="auto"/>
        <w:tabs>
          <w:tab w:val="left" w:pos="1099"/>
        </w:tabs>
        <w:spacing w:after="0"/>
        <w:ind w:firstLine="760"/>
        <w:jc w:val="both"/>
      </w:pPr>
      <w:r>
        <w:t>установление причин списания имущества;</w:t>
      </w:r>
    </w:p>
    <w:p w14:paraId="51EEDF7E" w14:textId="77777777" w:rsidR="00107974" w:rsidRDefault="000C66BB">
      <w:pPr>
        <w:pStyle w:val="20"/>
        <w:numPr>
          <w:ilvl w:val="0"/>
          <w:numId w:val="4"/>
        </w:numPr>
        <w:shd w:val="clear" w:color="auto" w:fill="auto"/>
        <w:tabs>
          <w:tab w:val="left" w:pos="1064"/>
        </w:tabs>
        <w:spacing w:after="0"/>
        <w:ind w:firstLine="760"/>
        <w:jc w:val="both"/>
      </w:pPr>
      <w:r>
        <w:t>проверка документов,</w:t>
      </w:r>
      <w:r w:rsidR="00DD472D">
        <w:t xml:space="preserve"> представленных должностными лиц</w:t>
      </w:r>
      <w:r>
        <w:t>ами, инициировавшими рассмотрение вопроса о списании имущества;</w:t>
      </w:r>
    </w:p>
    <w:p w14:paraId="5400B313" w14:textId="77777777" w:rsidR="00107974" w:rsidRDefault="000C66BB">
      <w:pPr>
        <w:pStyle w:val="20"/>
        <w:numPr>
          <w:ilvl w:val="0"/>
          <w:numId w:val="4"/>
        </w:numPr>
        <w:shd w:val="clear" w:color="auto" w:fill="auto"/>
        <w:tabs>
          <w:tab w:val="left" w:pos="1109"/>
        </w:tabs>
        <w:spacing w:after="0"/>
        <w:ind w:firstLine="760"/>
        <w:jc w:val="both"/>
      </w:pPr>
      <w:r>
        <w:t>принятие решения о необходимости:</w:t>
      </w:r>
    </w:p>
    <w:p w14:paraId="39E2B2A0" w14:textId="77777777" w:rsidR="00107974" w:rsidRDefault="000C66BB">
      <w:pPr>
        <w:pStyle w:val="20"/>
        <w:numPr>
          <w:ilvl w:val="0"/>
          <w:numId w:val="2"/>
        </w:numPr>
        <w:shd w:val="clear" w:color="auto" w:fill="auto"/>
        <w:tabs>
          <w:tab w:val="left" w:pos="1003"/>
        </w:tabs>
        <w:spacing w:after="0"/>
        <w:ind w:firstLine="760"/>
        <w:jc w:val="both"/>
      </w:pPr>
      <w:r>
        <w:t>затребования дополнительных документов (информации);</w:t>
      </w:r>
    </w:p>
    <w:p w14:paraId="48EB6BFB" w14:textId="77777777" w:rsidR="00107974" w:rsidRDefault="000C66BB">
      <w:pPr>
        <w:pStyle w:val="20"/>
        <w:numPr>
          <w:ilvl w:val="0"/>
          <w:numId w:val="2"/>
        </w:numPr>
        <w:shd w:val="clear" w:color="auto" w:fill="auto"/>
        <w:tabs>
          <w:tab w:val="left" w:pos="1003"/>
        </w:tabs>
        <w:spacing w:after="0"/>
        <w:ind w:firstLine="760"/>
        <w:jc w:val="both"/>
      </w:pPr>
      <w:r>
        <w:t>привлечения специалистов (экспертов) и (или) специализированных организаций для принятия решения;</w:t>
      </w:r>
    </w:p>
    <w:p w14:paraId="0A9A5D72" w14:textId="77777777" w:rsidR="00107974" w:rsidRDefault="000C66BB">
      <w:pPr>
        <w:pStyle w:val="20"/>
        <w:numPr>
          <w:ilvl w:val="0"/>
          <w:numId w:val="4"/>
        </w:numPr>
        <w:shd w:val="clear" w:color="auto" w:fill="auto"/>
        <w:tabs>
          <w:tab w:val="left" w:pos="1069"/>
        </w:tabs>
        <w:spacing w:after="0"/>
        <w:ind w:firstLine="760"/>
        <w:jc w:val="both"/>
      </w:pPr>
      <w:r>
        <w:t>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14:paraId="5EFF890C" w14:textId="77777777" w:rsidR="00107974" w:rsidRDefault="000C66BB">
      <w:pPr>
        <w:pStyle w:val="20"/>
        <w:numPr>
          <w:ilvl w:val="0"/>
          <w:numId w:val="4"/>
        </w:numPr>
        <w:shd w:val="clear" w:color="auto" w:fill="auto"/>
        <w:tabs>
          <w:tab w:val="left" w:pos="1064"/>
        </w:tabs>
        <w:spacing w:after="0"/>
        <w:ind w:firstLine="760"/>
        <w:jc w:val="both"/>
      </w:pPr>
      <w:r>
        <w:t>подготовка Акта о списании имущества и документов для согласования списания имущества;</w:t>
      </w:r>
    </w:p>
    <w:p w14:paraId="0C3978C4" w14:textId="77777777" w:rsidR="00107974" w:rsidRDefault="000C66BB">
      <w:pPr>
        <w:pStyle w:val="20"/>
        <w:numPr>
          <w:ilvl w:val="0"/>
          <w:numId w:val="4"/>
        </w:numPr>
        <w:shd w:val="clear" w:color="auto" w:fill="auto"/>
        <w:tabs>
          <w:tab w:val="left" w:pos="1074"/>
        </w:tabs>
        <w:spacing w:after="0"/>
        <w:ind w:firstLine="760"/>
        <w:jc w:val="both"/>
      </w:pPr>
      <w:r>
        <w:t>контроль за изъятием из списываемого имущества пригодных узлов, деталей, конструкций и материалов;</w:t>
      </w:r>
    </w:p>
    <w:p w14:paraId="13DA9DCB" w14:textId="77777777" w:rsidR="00107974" w:rsidRDefault="000C66BB">
      <w:pPr>
        <w:pStyle w:val="20"/>
        <w:numPr>
          <w:ilvl w:val="0"/>
          <w:numId w:val="4"/>
        </w:numPr>
        <w:shd w:val="clear" w:color="auto" w:fill="auto"/>
        <w:tabs>
          <w:tab w:val="left" w:pos="1069"/>
        </w:tabs>
        <w:spacing w:after="0"/>
        <w:ind w:firstLine="760"/>
        <w:jc w:val="both"/>
      </w:pPr>
      <w:r>
        <w:t>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14:paraId="44E43D20" w14:textId="77777777" w:rsidR="00107974" w:rsidRDefault="000C66BB">
      <w:pPr>
        <w:pStyle w:val="20"/>
        <w:numPr>
          <w:ilvl w:val="0"/>
          <w:numId w:val="4"/>
        </w:numPr>
        <w:shd w:val="clear" w:color="auto" w:fill="auto"/>
        <w:tabs>
          <w:tab w:val="left" w:pos="1184"/>
        </w:tabs>
        <w:spacing w:after="0"/>
        <w:ind w:firstLine="760"/>
        <w:jc w:val="both"/>
      </w:pPr>
      <w:r>
        <w:t>контроль сдачи на склад пригодных к использованию материальных ценностей, полученных в результате разборки (демонтажа) объектов имущества;</w:t>
      </w:r>
    </w:p>
    <w:p w14:paraId="0309E04D" w14:textId="77777777" w:rsidR="00107974" w:rsidRDefault="000C66BB">
      <w:pPr>
        <w:pStyle w:val="20"/>
        <w:numPr>
          <w:ilvl w:val="0"/>
          <w:numId w:val="4"/>
        </w:numPr>
        <w:shd w:val="clear" w:color="auto" w:fill="auto"/>
        <w:tabs>
          <w:tab w:val="left" w:pos="1179"/>
        </w:tabs>
        <w:spacing w:after="0"/>
        <w:ind w:firstLine="760"/>
        <w:jc w:val="both"/>
      </w:pPr>
      <w:r>
        <w:t>установление лиц, виновных в списании имущества в результате нарушение условий содержания и (или) эксплуатации, недостач, порчи, хищений;</w:t>
      </w:r>
    </w:p>
    <w:p w14:paraId="2CEE9E20" w14:textId="77777777" w:rsidR="00107974" w:rsidRDefault="000C66BB">
      <w:pPr>
        <w:pStyle w:val="20"/>
        <w:numPr>
          <w:ilvl w:val="0"/>
          <w:numId w:val="4"/>
        </w:numPr>
        <w:shd w:val="clear" w:color="auto" w:fill="auto"/>
        <w:tabs>
          <w:tab w:val="left" w:pos="1179"/>
        </w:tabs>
        <w:spacing w:after="0"/>
        <w:ind w:firstLine="760"/>
        <w:jc w:val="both"/>
      </w:pPr>
      <w:r>
        <w:t>осуществление сверок с дебиторами и кредиторами с целью принятия решения о списании дебиторской и кредиторской задолженности;</w:t>
      </w:r>
    </w:p>
    <w:p w14:paraId="5934F549" w14:textId="77777777" w:rsidR="00107974" w:rsidRDefault="000C66BB">
      <w:pPr>
        <w:pStyle w:val="20"/>
        <w:numPr>
          <w:ilvl w:val="0"/>
          <w:numId w:val="4"/>
        </w:numPr>
        <w:shd w:val="clear" w:color="auto" w:fill="auto"/>
        <w:tabs>
          <w:tab w:val="left" w:pos="1210"/>
        </w:tabs>
        <w:spacing w:after="0"/>
        <w:ind w:firstLine="760"/>
        <w:jc w:val="both"/>
      </w:pPr>
      <w:r>
        <w:t>иные полномочия.</w:t>
      </w:r>
    </w:p>
    <w:p w14:paraId="5FB2E32F" w14:textId="77777777" w:rsidR="00107974" w:rsidRDefault="000C66BB">
      <w:pPr>
        <w:pStyle w:val="20"/>
        <w:numPr>
          <w:ilvl w:val="1"/>
          <w:numId w:val="1"/>
        </w:numPr>
        <w:shd w:val="clear" w:color="auto" w:fill="auto"/>
        <w:tabs>
          <w:tab w:val="left" w:pos="1213"/>
        </w:tabs>
        <w:spacing w:after="0"/>
        <w:ind w:firstLine="760"/>
        <w:jc w:val="both"/>
      </w:pPr>
      <w:r>
        <w:t>Комиссия принимает решение о выбытии (списании) активов учреждения в следующих случаях:</w:t>
      </w:r>
    </w:p>
    <w:p w14:paraId="6CC270F7" w14:textId="77777777" w:rsidR="00107974" w:rsidRDefault="000C66BB">
      <w:pPr>
        <w:pStyle w:val="20"/>
        <w:numPr>
          <w:ilvl w:val="0"/>
          <w:numId w:val="5"/>
        </w:numPr>
        <w:shd w:val="clear" w:color="auto" w:fill="auto"/>
        <w:tabs>
          <w:tab w:val="left" w:pos="1064"/>
        </w:tabs>
        <w:spacing w:after="0"/>
        <w:ind w:firstLine="760"/>
        <w:jc w:val="both"/>
      </w:pPr>
      <w:r>
        <w:t>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7A74AD56" w14:textId="77777777" w:rsidR="00107974" w:rsidRDefault="000C66BB">
      <w:pPr>
        <w:pStyle w:val="20"/>
        <w:numPr>
          <w:ilvl w:val="0"/>
          <w:numId w:val="5"/>
        </w:numPr>
        <w:shd w:val="clear" w:color="auto" w:fill="auto"/>
        <w:tabs>
          <w:tab w:val="left" w:pos="1069"/>
        </w:tabs>
        <w:spacing w:after="0"/>
        <w:ind w:firstLine="760"/>
        <w:jc w:val="both"/>
      </w:pPr>
      <w:r>
        <w:t>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14:paraId="692AB4F3" w14:textId="77777777" w:rsidR="00107974" w:rsidRDefault="000C66BB">
      <w:pPr>
        <w:pStyle w:val="20"/>
        <w:numPr>
          <w:ilvl w:val="0"/>
          <w:numId w:val="5"/>
        </w:numPr>
        <w:shd w:val="clear" w:color="auto" w:fill="auto"/>
        <w:tabs>
          <w:tab w:val="left" w:pos="1069"/>
        </w:tabs>
        <w:spacing w:after="0"/>
        <w:ind w:firstLine="760"/>
        <w:jc w:val="both"/>
      </w:pPr>
      <w:r>
        <w:t>имущество в установленном порядке передается иной организации бюджетной сферы, государственному (муниципальному) предприятию;</w:t>
      </w:r>
    </w:p>
    <w:p w14:paraId="266CC018" w14:textId="77777777" w:rsidR="00107974" w:rsidRDefault="000C66BB">
      <w:pPr>
        <w:pStyle w:val="20"/>
        <w:numPr>
          <w:ilvl w:val="0"/>
          <w:numId w:val="5"/>
        </w:numPr>
        <w:shd w:val="clear" w:color="auto" w:fill="auto"/>
        <w:tabs>
          <w:tab w:val="left" w:pos="1069"/>
        </w:tabs>
        <w:spacing w:after="0"/>
        <w:ind w:firstLine="760"/>
        <w:jc w:val="both"/>
      </w:pPr>
      <w:r>
        <w:t>в иных случаях прекращения права оперативного управления, предусмотренных действующим законодательством;</w:t>
      </w:r>
    </w:p>
    <w:p w14:paraId="35122F30" w14:textId="77777777" w:rsidR="00107974" w:rsidRDefault="000C66BB">
      <w:pPr>
        <w:pStyle w:val="20"/>
        <w:numPr>
          <w:ilvl w:val="0"/>
          <w:numId w:val="5"/>
        </w:numPr>
        <w:shd w:val="clear" w:color="auto" w:fill="auto"/>
        <w:tabs>
          <w:tab w:val="left" w:pos="1074"/>
        </w:tabs>
        <w:spacing w:after="0"/>
        <w:ind w:firstLine="760"/>
        <w:jc w:val="both"/>
      </w:pPr>
      <w:r>
        <w:t>признание дебиторской задолженности сомнительной в целях списания ее с балансового учета, в том числе при условии несоответствия задолженности критериям признания ее активом;</w:t>
      </w:r>
    </w:p>
    <w:p w14:paraId="15A90F72" w14:textId="77777777" w:rsidR="00107974" w:rsidRDefault="000C66BB">
      <w:pPr>
        <w:pStyle w:val="20"/>
        <w:numPr>
          <w:ilvl w:val="0"/>
          <w:numId w:val="5"/>
        </w:numPr>
        <w:shd w:val="clear" w:color="auto" w:fill="auto"/>
        <w:tabs>
          <w:tab w:val="left" w:pos="1074"/>
        </w:tabs>
        <w:spacing w:after="0"/>
        <w:ind w:firstLine="760"/>
        <w:jc w:val="both"/>
      </w:pPr>
      <w:r>
        <w:t xml:space="preserve">признание дебиторской задолженности по доходам бюджета, учтенной на балансе или за балансом, безнадежной ко взысканию в целях ее списания по основаниям, указанным в </w:t>
      </w:r>
      <w:proofErr w:type="spellStart"/>
      <w:r>
        <w:t>пп</w:t>
      </w:r>
      <w:proofErr w:type="spellEnd"/>
      <w:r>
        <w:t>. 1, 2 ст. 47.2 БК РФ;</w:t>
      </w:r>
    </w:p>
    <w:p w14:paraId="11C23513" w14:textId="77777777" w:rsidR="00107974" w:rsidRDefault="000C66BB">
      <w:pPr>
        <w:pStyle w:val="20"/>
        <w:numPr>
          <w:ilvl w:val="0"/>
          <w:numId w:val="5"/>
        </w:numPr>
        <w:shd w:val="clear" w:color="auto" w:fill="auto"/>
        <w:tabs>
          <w:tab w:val="left" w:pos="1074"/>
        </w:tabs>
        <w:spacing w:after="0"/>
        <w:ind w:firstLine="760"/>
        <w:jc w:val="both"/>
      </w:pPr>
      <w:r>
        <w:t>признание кредиторской задолженности, учтенной на балансе, невостребованной кредиторами, в том числе том числе сумм кредиторской задолженности, не подтвержденных по результатам инвентаризации кредитором;</w:t>
      </w:r>
    </w:p>
    <w:p w14:paraId="627AD744" w14:textId="77777777" w:rsidR="00107974" w:rsidRDefault="000C66BB">
      <w:pPr>
        <w:pStyle w:val="20"/>
        <w:numPr>
          <w:ilvl w:val="0"/>
          <w:numId w:val="5"/>
        </w:numPr>
        <w:shd w:val="clear" w:color="auto" w:fill="auto"/>
        <w:tabs>
          <w:tab w:val="left" w:pos="1078"/>
        </w:tabs>
        <w:spacing w:after="0"/>
        <w:ind w:firstLine="760"/>
        <w:jc w:val="both"/>
      </w:pPr>
      <w:r>
        <w:t>признание невостребованной кредиторской задолженности подлежащей списанию с забалансового учета в порядке, установленном главным распорядителем бюджетных средств (главным администратором источников финансирования дефицита бюджета);</w:t>
      </w:r>
    </w:p>
    <w:p w14:paraId="1DA142D7" w14:textId="77777777" w:rsidR="00107974" w:rsidRDefault="000C66BB">
      <w:pPr>
        <w:pStyle w:val="20"/>
        <w:numPr>
          <w:ilvl w:val="1"/>
          <w:numId w:val="1"/>
        </w:numPr>
        <w:shd w:val="clear" w:color="auto" w:fill="auto"/>
        <w:tabs>
          <w:tab w:val="left" w:pos="1258"/>
        </w:tabs>
        <w:spacing w:after="0"/>
        <w:ind w:firstLine="760"/>
        <w:jc w:val="both"/>
      </w:pPr>
      <w:r>
        <w:t>Комиссия принимает решения по выбытию (списанию) активов с учетом:</w:t>
      </w:r>
    </w:p>
    <w:p w14:paraId="4E8E049A" w14:textId="77777777" w:rsidR="00107974" w:rsidRDefault="000C66BB">
      <w:pPr>
        <w:pStyle w:val="20"/>
        <w:numPr>
          <w:ilvl w:val="0"/>
          <w:numId w:val="6"/>
        </w:numPr>
        <w:shd w:val="clear" w:color="auto" w:fill="auto"/>
        <w:tabs>
          <w:tab w:val="left" w:pos="1059"/>
        </w:tabs>
        <w:spacing w:after="0"/>
        <w:ind w:firstLine="760"/>
        <w:jc w:val="both"/>
      </w:pPr>
      <w:r>
        <w:t xml:space="preserve">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w:t>
      </w:r>
      <w:r>
        <w:lastRenderedPageBreak/>
        <w:t>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14:paraId="39536143" w14:textId="77777777" w:rsidR="00107974" w:rsidRDefault="000C66BB">
      <w:pPr>
        <w:pStyle w:val="20"/>
        <w:numPr>
          <w:ilvl w:val="0"/>
          <w:numId w:val="6"/>
        </w:numPr>
        <w:shd w:val="clear" w:color="auto" w:fill="auto"/>
        <w:tabs>
          <w:tab w:val="left" w:pos="1057"/>
        </w:tabs>
        <w:spacing w:after="0"/>
        <w:ind w:firstLine="760"/>
        <w:jc w:val="both"/>
      </w:pPr>
      <w:r>
        <w:t xml:space="preserve">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России от </w:t>
      </w:r>
      <w:r>
        <w:rPr>
          <w:rStyle w:val="22"/>
        </w:rPr>
        <w:t xml:space="preserve">09.12.2016 </w:t>
      </w:r>
      <w:r>
        <w:rPr>
          <w:rStyle w:val="22"/>
          <w:lang w:val="en-US" w:eastAsia="en-US" w:bidi="en-US"/>
        </w:rPr>
        <w:t>N</w:t>
      </w:r>
      <w:r w:rsidRPr="000C66BB">
        <w:rPr>
          <w:rStyle w:val="22"/>
          <w:lang w:eastAsia="en-US" w:bidi="en-US"/>
        </w:rPr>
        <w:t>231</w:t>
      </w:r>
      <w:r>
        <w:rPr>
          <w:rStyle w:val="22"/>
          <w:lang w:val="en-US" w:eastAsia="en-US" w:bidi="en-US"/>
        </w:rPr>
        <w:t>h</w:t>
      </w:r>
      <w:r w:rsidRPr="000C66BB">
        <w:rPr>
          <w:rStyle w:val="22"/>
          <w:lang w:eastAsia="en-US" w:bidi="en-US"/>
        </w:rPr>
        <w:t xml:space="preserve"> </w:t>
      </w:r>
      <w:r>
        <w: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4EC70E99" w14:textId="77777777" w:rsidR="00107974" w:rsidRDefault="000C66BB">
      <w:pPr>
        <w:pStyle w:val="20"/>
        <w:numPr>
          <w:ilvl w:val="0"/>
          <w:numId w:val="6"/>
        </w:numPr>
        <w:shd w:val="clear" w:color="auto" w:fill="auto"/>
        <w:tabs>
          <w:tab w:val="left" w:pos="1057"/>
        </w:tabs>
        <w:spacing w:after="0"/>
        <w:ind w:firstLine="760"/>
        <w:jc w:val="both"/>
      </w:pPr>
      <w:r>
        <w:t>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14:paraId="4587D375" w14:textId="77777777" w:rsidR="00107974" w:rsidRDefault="000C66BB">
      <w:pPr>
        <w:pStyle w:val="20"/>
        <w:numPr>
          <w:ilvl w:val="0"/>
          <w:numId w:val="6"/>
        </w:numPr>
        <w:shd w:val="clear" w:color="auto" w:fill="auto"/>
        <w:tabs>
          <w:tab w:val="left" w:pos="1047"/>
        </w:tabs>
        <w:spacing w:after="0"/>
        <w:ind w:firstLine="760"/>
        <w:jc w:val="both"/>
      </w:pPr>
      <w:r>
        <w:t>наличия иных документов, подтверждающих факт преждевременного выбытия имущества из владения, пользования и распоряжения.</w:t>
      </w:r>
    </w:p>
    <w:p w14:paraId="06C7FB1C" w14:textId="53793671" w:rsidR="00107974" w:rsidRDefault="000C66BB">
      <w:pPr>
        <w:pStyle w:val="20"/>
        <w:shd w:val="clear" w:color="auto" w:fill="auto"/>
        <w:spacing w:after="0"/>
        <w:ind w:firstLine="760"/>
        <w:jc w:val="both"/>
      </w:pPr>
      <w:r>
        <w:t>3.6. При выбытии (списании) активов комиссией оформляются первичные документы согласно графику документооборота.</w:t>
      </w:r>
    </w:p>
    <w:sectPr w:rsidR="00107974" w:rsidSect="004C298A">
      <w:type w:val="continuous"/>
      <w:pgSz w:w="11900" w:h="16840"/>
      <w:pgMar w:top="1437" w:right="724" w:bottom="1601" w:left="7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4D47D" w14:textId="77777777" w:rsidR="00596351" w:rsidRDefault="00596351">
      <w:r>
        <w:separator/>
      </w:r>
    </w:p>
  </w:endnote>
  <w:endnote w:type="continuationSeparator" w:id="0">
    <w:p w14:paraId="4C6062B8" w14:textId="77777777" w:rsidR="00596351" w:rsidRDefault="0059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F43BE" w14:textId="77777777" w:rsidR="00596351" w:rsidRDefault="00596351"/>
  </w:footnote>
  <w:footnote w:type="continuationSeparator" w:id="0">
    <w:p w14:paraId="51067F6F" w14:textId="77777777" w:rsidR="00596351" w:rsidRDefault="005963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A17CC"/>
    <w:multiLevelType w:val="multilevel"/>
    <w:tmpl w:val="3A202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0951FD"/>
    <w:multiLevelType w:val="multilevel"/>
    <w:tmpl w:val="2D602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A6CC0"/>
    <w:multiLevelType w:val="multilevel"/>
    <w:tmpl w:val="8E387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3A620B"/>
    <w:multiLevelType w:val="multilevel"/>
    <w:tmpl w:val="0FE2B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931AD6"/>
    <w:multiLevelType w:val="multilevel"/>
    <w:tmpl w:val="79088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D835CF"/>
    <w:multiLevelType w:val="multilevel"/>
    <w:tmpl w:val="F2F07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6470955">
    <w:abstractNumId w:val="0"/>
  </w:num>
  <w:num w:numId="2" w16cid:durableId="454641796">
    <w:abstractNumId w:val="2"/>
  </w:num>
  <w:num w:numId="3" w16cid:durableId="392430928">
    <w:abstractNumId w:val="3"/>
  </w:num>
  <w:num w:numId="4" w16cid:durableId="727611647">
    <w:abstractNumId w:val="4"/>
  </w:num>
  <w:num w:numId="5" w16cid:durableId="2121682892">
    <w:abstractNumId w:val="5"/>
  </w:num>
  <w:num w:numId="6" w16cid:durableId="103658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07974"/>
    <w:rsid w:val="000C66BB"/>
    <w:rsid w:val="00107974"/>
    <w:rsid w:val="00141965"/>
    <w:rsid w:val="001E6B13"/>
    <w:rsid w:val="003117CE"/>
    <w:rsid w:val="004C298A"/>
    <w:rsid w:val="00596351"/>
    <w:rsid w:val="00611FEA"/>
    <w:rsid w:val="00A053B1"/>
    <w:rsid w:val="00DD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59E7"/>
  <w15:docId w15:val="{6D92F818-C6FF-489C-8457-F3C45AA9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9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C298A"/>
    <w:rPr>
      <w:color w:val="0066CC"/>
      <w:u w:val="single"/>
    </w:rPr>
  </w:style>
  <w:style w:type="character" w:customStyle="1" w:styleId="2">
    <w:name w:val="Основной текст (2)_"/>
    <w:basedOn w:val="a0"/>
    <w:link w:val="20"/>
    <w:rsid w:val="004C298A"/>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4C29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
    <w:name w:val="Основной текст (2) + Малые прописные"/>
    <w:basedOn w:val="2"/>
    <w:rsid w:val="004C298A"/>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paragraph" w:customStyle="1" w:styleId="20">
    <w:name w:val="Основной текст (2)"/>
    <w:basedOn w:val="a"/>
    <w:link w:val="2"/>
    <w:rsid w:val="004C298A"/>
    <w:pPr>
      <w:shd w:val="clear" w:color="auto" w:fill="FFFFFF"/>
      <w:spacing w:after="360" w:line="274" w:lineRule="exact"/>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Gosurburo Karelia</cp:lastModifiedBy>
  <cp:revision>6</cp:revision>
  <dcterms:created xsi:type="dcterms:W3CDTF">2023-12-04T14:04:00Z</dcterms:created>
  <dcterms:modified xsi:type="dcterms:W3CDTF">2024-12-09T06:56:00Z</dcterms:modified>
</cp:coreProperties>
</file>