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  <w:lang w:val="ru-RU"/>
        </w:rPr>
        <w:t>управлению</w:t>
      </w:r>
      <w:r>
        <w:rPr>
          <w:b/>
          <w:sz w:val="28"/>
          <w:szCs w:val="28"/>
        </w:rPr>
        <w:t xml:space="preserve"> образования администрации Кимрского </w:t>
      </w:r>
      <w:r>
        <w:rPr>
          <w:b/>
          <w:sz w:val="28"/>
          <w:szCs w:val="28"/>
          <w:lang w:val="ru-RU"/>
        </w:rPr>
        <w:t>муниципального округа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</w:t>
      </w:r>
    </w:p>
    <w:p>
      <w:pPr>
        <w:pStyle w:val="Normal"/>
        <w:rPr/>
      </w:pPr>
      <w:r>
        <w:rPr>
          <w:b/>
          <w:color w:val="000000"/>
          <w:sz w:val="28"/>
          <w:szCs w:val="28"/>
        </w:rPr>
        <w:t>от 04.0</w:t>
      </w:r>
      <w:r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.202</w:t>
      </w:r>
      <w:r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г.                                                                             № 4</w:t>
      </w:r>
    </w:p>
    <w:p>
      <w:pPr>
        <w:pStyle w:val="Normal"/>
        <w:widowControl/>
        <w:spacing w:before="0" w:after="120"/>
        <w:ind w:left="0" w:right="0" w:hanging="0"/>
        <w:jc w:val="center"/>
        <w:rPr>
          <w:b/>
          <w:b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г. Кимры</w:t>
      </w:r>
    </w:p>
    <w:p>
      <w:pPr>
        <w:pStyle w:val="Normal"/>
        <w:widowControl/>
        <w:spacing w:before="0" w:after="120"/>
        <w:ind w:left="0" w:right="0" w:hanging="0"/>
        <w:jc w:val="center"/>
        <w:rPr>
          <w:rFonts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r>
    </w:p>
    <w:p>
      <w:pPr>
        <w:pStyle w:val="Normal"/>
        <w:widowControl/>
        <w:spacing w:before="0" w:after="120"/>
        <w:ind w:left="0" w:right="0" w:hanging="0"/>
        <w:jc w:val="center"/>
        <w:rPr>
          <w:rFonts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left"/>
        <w:rPr>
          <w:b/>
          <w:b/>
          <w:bCs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«Об утверждении плана мероприятий</w:t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left"/>
        <w:rPr>
          <w:b/>
          <w:b/>
          <w:bCs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(«Дорожной карты») по реализации механизмов</w:t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left"/>
        <w:rPr>
          <w:b/>
          <w:b/>
          <w:bCs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управления качеством образования</w:t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left"/>
        <w:rPr/>
      </w:pPr>
      <w:r>
        <w:rPr>
          <w:rFonts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 xml:space="preserve">в Кимрском </w:t>
      </w:r>
      <w:r>
        <w:rPr>
          <w:rFonts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муниципальном округе</w:t>
      </w:r>
      <w:r>
        <w:rPr>
          <w:rFonts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 xml:space="preserve"> Тверской области»</w:t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both"/>
        <w:rPr>
          <w:rFonts w:cs="Times New Roman"/>
          <w:i w:val="false"/>
          <w:i w:val="false"/>
          <w:iCs w:val="false"/>
          <w:caps w:val="false"/>
          <w:smallCaps w:val="false"/>
          <w:color w:val="000000"/>
          <w:spacing w:val="0"/>
          <w:lang w:val="ru-RU" w:eastAsia="en-US"/>
        </w:rPr>
      </w:pPr>
      <w:r>
        <w:rPr>
          <w:rFonts w:cs="Times New Roman"/>
          <w:i w:val="false"/>
          <w:iCs w:val="false"/>
          <w:caps w:val="false"/>
          <w:smallCaps w:val="false"/>
          <w:color w:val="000000"/>
          <w:spacing w:val="0"/>
          <w:lang w:val="ru-RU" w:eastAsia="en-US"/>
        </w:rPr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both"/>
        <w:rPr>
          <w:rFonts w:cs="Times New Roman"/>
          <w:i w:val="false"/>
          <w:i w:val="false"/>
          <w:iCs w:val="false"/>
          <w:caps w:val="false"/>
          <w:smallCaps w:val="false"/>
          <w:color w:val="000000"/>
          <w:spacing w:val="0"/>
          <w:lang w:val="ru-RU" w:eastAsia="en-US"/>
        </w:rPr>
      </w:pPr>
      <w:r>
        <w:rPr>
          <w:rFonts w:cs="Times New Roman"/>
          <w:i w:val="false"/>
          <w:iCs w:val="false"/>
          <w:caps w:val="false"/>
          <w:smallCaps w:val="false"/>
          <w:color w:val="000000"/>
          <w:spacing w:val="0"/>
          <w:lang w:val="ru-RU" w:eastAsia="en-US"/>
        </w:rPr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 xml:space="preserve">   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 xml:space="preserve">В целях выявления степени сформированности и эффективности функционирования муниципальной системы управления качеством образования в Кимрском 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муниципальном округе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, в соответствии с письмом Федерального государственного бюджетного учреждения «Федеральный институт оценки образования» от 17.06.2022 № 02-22/653</w:t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center"/>
        <w:rPr>
          <w:rFonts w:cs="Times New Roman"/>
          <w:i w:val="false"/>
          <w:i w:val="false"/>
          <w:iCs w:val="false"/>
          <w:caps w:val="false"/>
          <w:smallCaps w:val="false"/>
          <w:color w:val="000000"/>
          <w:spacing w:val="0"/>
          <w:lang w:val="ru-RU" w:eastAsia="en-US"/>
        </w:rPr>
      </w:pPr>
      <w:r>
        <w:rPr>
          <w:rFonts w:cs="Times New Roman"/>
          <w:i w:val="false"/>
          <w:iCs w:val="false"/>
          <w:caps w:val="false"/>
          <w:smallCaps w:val="false"/>
          <w:color w:val="000000"/>
          <w:spacing w:val="0"/>
          <w:lang w:val="ru-RU" w:eastAsia="en-US"/>
        </w:rPr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center"/>
        <w:rPr>
          <w:b/>
          <w:b/>
          <w:bCs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ПРИКАЗЫВАЮ:</w:t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center"/>
        <w:rPr>
          <w:rFonts w:cs="Times New Roman"/>
          <w:i w:val="false"/>
          <w:i w:val="false"/>
          <w:iCs w:val="false"/>
          <w:caps w:val="false"/>
          <w:smallCaps w:val="false"/>
          <w:color w:val="000000"/>
          <w:spacing w:val="0"/>
          <w:lang w:val="ru-RU" w:eastAsia="en-US"/>
        </w:rPr>
      </w:pPr>
      <w:r>
        <w:rPr>
          <w:rFonts w:cs="Times New Roman"/>
          <w:i w:val="false"/>
          <w:iCs w:val="false"/>
          <w:caps w:val="false"/>
          <w:smallCaps w:val="false"/>
          <w:color w:val="000000"/>
          <w:spacing w:val="0"/>
          <w:lang w:val="ru-RU" w:eastAsia="en-US"/>
        </w:rPr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 xml:space="preserve">1. Утвердить план мероприятий («Дорожная карта») по реализации механизмов управления качеством образования в Кимрском 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муниципальном округе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 xml:space="preserve"> Тверской области»;</w:t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 xml:space="preserve">2. Контроль за исполнением плана мероприятий («Дорожная карта») возложить на 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 xml:space="preserve">начальника отдела дошкольного, основного, среднего общего и дополнительного образования Наталью Петровну Ермакову и 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директора МКУ «Центр по обеспечению деятельности системы образования Кимрского района» Бойкову Ирину Владимировну.</w:t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3. Контроль за исполнением данного приказа оставляю за собой.</w:t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both"/>
        <w:rPr>
          <w:rFonts w:cs="Times New Roman"/>
          <w:i w:val="false"/>
          <w:i w:val="false"/>
          <w:iCs w:val="false"/>
          <w:caps w:val="false"/>
          <w:smallCaps w:val="false"/>
          <w:color w:val="000000"/>
          <w:spacing w:val="0"/>
          <w:lang w:val="ru-RU" w:eastAsia="en-US"/>
        </w:rPr>
      </w:pPr>
      <w:r>
        <w:rPr>
          <w:rFonts w:cs="Times New Roman"/>
          <w:i w:val="false"/>
          <w:iCs w:val="false"/>
          <w:caps w:val="false"/>
          <w:smallCaps w:val="false"/>
          <w:color w:val="000000"/>
          <w:spacing w:val="0"/>
          <w:lang w:val="ru-RU" w:eastAsia="en-US"/>
        </w:rPr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both"/>
        <w:rPr>
          <w:rFonts w:cs="Times New Roman"/>
          <w:i w:val="false"/>
          <w:i w:val="false"/>
          <w:iCs w:val="false"/>
          <w:caps w:val="false"/>
          <w:smallCaps w:val="false"/>
          <w:color w:val="000000"/>
          <w:spacing w:val="0"/>
          <w:lang w:val="ru-RU" w:eastAsia="en-US"/>
        </w:rPr>
      </w:pPr>
      <w:r>
        <w:rPr>
          <w:rFonts w:cs="Times New Roman"/>
          <w:i w:val="false"/>
          <w:iCs w:val="false"/>
          <w:caps w:val="false"/>
          <w:smallCaps w:val="false"/>
          <w:color w:val="000000"/>
          <w:spacing w:val="0"/>
          <w:lang w:val="ru-RU" w:eastAsia="en-US"/>
        </w:rPr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both"/>
        <w:rPr>
          <w:rFonts w:cs="Times New Roman"/>
          <w:i w:val="false"/>
          <w:i w:val="false"/>
          <w:iCs w:val="false"/>
          <w:caps w:val="false"/>
          <w:smallCaps w:val="false"/>
          <w:color w:val="000000"/>
          <w:spacing w:val="0"/>
          <w:lang w:val="ru-RU" w:eastAsia="en-US"/>
        </w:rPr>
      </w:pPr>
      <w:r>
        <w:rPr>
          <w:rFonts w:cs="Times New Roman"/>
          <w:i w:val="false"/>
          <w:iCs w:val="false"/>
          <w:caps w:val="false"/>
          <w:smallCaps w:val="false"/>
          <w:color w:val="000000"/>
          <w:spacing w:val="0"/>
          <w:lang w:val="ru-RU" w:eastAsia="en-US"/>
        </w:rPr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both"/>
        <w:rPr>
          <w:rFonts w:cs="Times New Roman"/>
          <w:i w:val="false"/>
          <w:i w:val="false"/>
          <w:iCs w:val="false"/>
          <w:caps w:val="false"/>
          <w:smallCaps w:val="false"/>
          <w:color w:val="000000"/>
          <w:spacing w:val="0"/>
          <w:lang w:val="ru-RU" w:eastAsia="en-US"/>
        </w:rPr>
      </w:pPr>
      <w:r>
        <w:rPr>
          <w:rFonts w:cs="Times New Roman"/>
          <w:i w:val="false"/>
          <w:iCs w:val="false"/>
          <w:caps w:val="false"/>
          <w:smallCaps w:val="false"/>
          <w:color w:val="000000"/>
          <w:spacing w:val="0"/>
          <w:lang w:val="ru-RU" w:eastAsia="en-US"/>
        </w:rPr>
      </w:r>
    </w:p>
    <w:p>
      <w:pPr>
        <w:pStyle w:val="Normal"/>
        <w:widowControl/>
        <w:bidi w:val="0"/>
        <w:spacing w:lineRule="auto" w:line="240" w:before="0" w:after="119"/>
        <w:ind w:left="0" w:right="0" w:hanging="0"/>
        <w:contextualSpacing/>
        <w:jc w:val="left"/>
        <w:rPr/>
      </w:pPr>
      <w:r>
        <w:rPr>
          <w:rFonts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 xml:space="preserve">Начальник </w:t>
      </w:r>
      <w:r>
        <w:rPr>
          <w:rFonts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управления образования</w:t>
      </w:r>
      <w:r>
        <w:rPr>
          <w:rFonts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 xml:space="preserve">                                 </w:t>
      </w:r>
      <w:r>
        <w:rPr>
          <w:rFonts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Н.П.Баданова</w:t>
      </w:r>
      <w:r>
        <w:rPr>
          <w:rFonts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 xml:space="preserve">                                            </w:t>
      </w:r>
    </w:p>
    <w:sectPr>
      <w:type w:val="nextPage"/>
      <w:pgSz w:w="11906" w:h="16838"/>
      <w:pgMar w:left="1110" w:right="112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PT sans">
    <w:charset w:val="cc"/>
    <w:family w:val="roman"/>
    <w:pitch w:val="variable"/>
  </w:font>
  <w:font w:name="PT Sans">
    <w:altName w:val="sans-serif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1134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0"/>
        <w:szCs w:val="24"/>
        <w:lang w:val="ru-RU" w:eastAsia="ru-RU" w:bidi="ru-RU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Andale Sans UI" w:cs="Tahoma"/>
      <w:color w:val="00000A"/>
      <w:kern w:val="2"/>
      <w:sz w:val="24"/>
      <w:szCs w:val="24"/>
      <w:lang w:val="zxx" w:eastAsia="zxx" w:bidi="zxx"/>
    </w:rPr>
  </w:style>
  <w:style w:type="paragraph" w:styleId="1">
    <w:name w:val="Heading 1"/>
    <w:basedOn w:val="Style17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7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styleId="Q">
    <w:name w:val="q"/>
    <w:qFormat/>
    <w:rPr/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character" w:styleId="Style12">
    <w:name w:val="Выделение жирным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C18">
    <w:name w:val="c18"/>
    <w:basedOn w:val="DefaultParagraphFont"/>
    <w:qFormat/>
    <w:rPr/>
  </w:style>
  <w:style w:type="character" w:styleId="Style13">
    <w:name w:val="Выделение"/>
    <w:qFormat/>
    <w:rPr>
      <w:i/>
      <w:iCs/>
    </w:rPr>
  </w:style>
  <w:style w:type="character" w:styleId="Style14">
    <w:name w:val="Символ нумерации"/>
    <w:qFormat/>
    <w:rPr/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PT sans" w:hAnsi="PT sans" w:cs="OpenSymbol"/>
      <w:b w:val="false"/>
      <w:sz w:val="24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PT sans" w:hAnsi="PT sans" w:cs="OpenSymbol"/>
      <w:b w:val="false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PT sans" w:hAnsi="PT sans" w:cs="OpenSymbol"/>
      <w:b w:val="false"/>
      <w:sz w:val="24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PT sans" w:hAnsi="PT sans" w:cs="OpenSymbol"/>
      <w:b w:val="false"/>
      <w:sz w:val="24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ascii="PT sans" w:hAnsi="PT sans" w:cs="OpenSymbol"/>
      <w:b w:val="false"/>
      <w:sz w:val="24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ascii="PT sans" w:hAnsi="PT sans" w:cs="OpenSymbol"/>
      <w:b w:val="false"/>
      <w:sz w:val="24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ascii="PT sans" w:hAnsi="PT sans" w:cs="OpenSymbol"/>
      <w:b w:val="false"/>
      <w:sz w:val="24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ascii="PT sans" w:hAnsi="PT sans" w:cs="OpenSymbol"/>
      <w:b w:val="false"/>
      <w:sz w:val="24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ascii="Times New Roman" w:hAnsi="Times New Roman" w:cs="OpenSymbol"/>
      <w:b w:val="false"/>
      <w:sz w:val="28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character" w:styleId="ListLabel82">
    <w:name w:val="ListLabel 82"/>
    <w:qFormat/>
    <w:rPr>
      <w:rFonts w:ascii="PT Sans;sans-serif" w:hAnsi="PT Sans;sans-serif" w:cs="OpenSymbol"/>
      <w:b w:val="false"/>
      <w:sz w:val="28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ascii="PT Sans;sans-serif" w:hAnsi="PT Sans;sans-serif" w:cs="OpenSymbol"/>
      <w:b w:val="false"/>
      <w:sz w:val="28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ascii="PT Sans;sans-serif" w:hAnsi="PT Sans;sans-serif" w:cs="OpenSymbol"/>
      <w:b w:val="false"/>
      <w:sz w:val="28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ascii="PT Sans;sans-serif" w:hAnsi="PT Sans;sans-serif" w:cs="OpenSymbol"/>
      <w:b w:val="false"/>
      <w:sz w:val="28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ascii="PT Sans;sans-serif" w:hAnsi="PT Sans;sans-serif" w:cs="OpenSymbol"/>
      <w:b w:val="false"/>
      <w:sz w:val="28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ascii="PT Sans;sans-serif" w:hAnsi="PT Sans;sans-serif" w:cs="OpenSymbol"/>
      <w:b w:val="false"/>
      <w:sz w:val="28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ascii="PT Sans;sans-serif" w:hAnsi="PT Sans;sans-serif" w:cs="OpenSymbol"/>
      <w:b w:val="false"/>
      <w:sz w:val="28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ascii="PT Sans;sans-serif" w:hAnsi="PT Sans;sans-serif" w:cs="OpenSymbol"/>
      <w:b w:val="false"/>
      <w:sz w:val="28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ascii="PT Sans;sans-serif" w:hAnsi="PT Sans;sans-serif" w:cs="OpenSymbol"/>
      <w:b w:val="false"/>
      <w:sz w:val="28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cs="Tahoma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Tahom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Горизонтальная линия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Style26">
    <w:name w:val="Обычный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30"/>
      <w:szCs w:val="24"/>
      <w:u w:val="none"/>
      <w:em w:val="none"/>
      <w:lang w:val="ru-RU" w:eastAsia="en-US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27">
    <w:name w:val="Список копий"/>
    <w:basedOn w:val="Normal"/>
    <w:qFormat/>
    <w:pPr>
      <w:keepLines/>
      <w:spacing w:lineRule="atLeast" w:line="220" w:before="0" w:after="0"/>
      <w:ind w:left="360" w:right="0" w:hanging="360"/>
      <w:jc w:val="both"/>
    </w:pPr>
    <w:rPr>
      <w:rFonts w:ascii="Arial" w:hAnsi="Arial" w:eastAsia="Times New Roman" w:cs="Times New Roman"/>
      <w:spacing w:val="-5"/>
      <w:sz w:val="20"/>
      <w:szCs w:val="20"/>
    </w:rPr>
  </w:style>
  <w:style w:type="paragraph" w:styleId="11">
    <w:name w:val="Абзац списка1"/>
    <w:basedOn w:val="Normal"/>
    <w:qFormat/>
    <w:pPr>
      <w:suppressAutoHyphens w:val="true"/>
      <w:spacing w:before="0" w:after="0"/>
      <w:ind w:left="720" w:hanging="0"/>
      <w:contextualSpacing/>
    </w:pPr>
    <w:rPr>
      <w:sz w:val="24"/>
      <w:szCs w:val="24"/>
      <w:lang w:eastAsia="zh-CN"/>
    </w:rPr>
  </w:style>
  <w:style w:type="paragraph" w:styleId="12">
    <w:name w:val="Без интервала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00000A"/>
      <w:kern w:val="2"/>
      <w:sz w:val="20"/>
      <w:szCs w:val="24"/>
      <w:lang w:val="ru-RU" w:eastAsia="ru-RU" w:bidi="ru-RU"/>
    </w:rPr>
  </w:style>
  <w:style w:type="paragraph" w:styleId="Style28">
    <w:name w:val="Абзац списка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1277</TotalTime>
  <Application>LibreOffice/5.4.1.2$Windows_X86_64 LibreOffice_project/ea7cb86e6eeb2bf3a5af73a8f7777ac570321527</Application>
  <Pages>1</Pages>
  <Words>134</Words>
  <Characters>1031</Characters>
  <CharactersWithSpaces>1410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cp:lastPrinted>2022-07-06T14:27:36Z</cp:lastPrinted>
  <dcterms:modified xsi:type="dcterms:W3CDTF">2023-03-14T11:24:55Z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