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22"/>
        </w:rPr>
      </w:pPr>
      <w:r>
        <w:rPr>
          <w:b/>
          <w:sz w:val="22"/>
        </w:rPr>
        <w:t>Протокол  № 1   совещания с руководителями ОО</w:t>
      </w:r>
    </w:p>
    <w:p>
      <w:pPr>
        <w:pStyle w:val="NoSpacing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Дата – 17.01.2023 года</w:t>
      </w:r>
    </w:p>
    <w:p>
      <w:pPr>
        <w:pStyle w:val="NoSpacing"/>
        <w:rPr>
          <w:sz w:val="22"/>
        </w:rPr>
      </w:pPr>
      <w:r>
        <w:rPr>
          <w:sz w:val="22"/>
        </w:rPr>
        <w:t>Участники – руководители ОО</w:t>
      </w:r>
    </w:p>
    <w:p>
      <w:pPr>
        <w:pStyle w:val="NoSpacing"/>
        <w:rPr>
          <w:i/>
          <w:i/>
          <w:sz w:val="22"/>
        </w:rPr>
      </w:pPr>
      <w:r>
        <w:rPr>
          <w:i/>
          <w:sz w:val="22"/>
        </w:rPr>
        <w:t>Повестка дня:</w:t>
      </w:r>
    </w:p>
    <w:p>
      <w:pPr>
        <w:pStyle w:val="NoSpacing"/>
        <w:rPr>
          <w:sz w:val="22"/>
        </w:rPr>
      </w:pPr>
      <w:r>
        <w:rPr>
          <w:sz w:val="22"/>
        </w:rPr>
        <w:t>1.Об обеспечении объективности оценки качества подготовки обучающихся при проведении ВПР в 2023 году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По первому вопросу «Об обеспечении объективности оценки качества подготовки обучающихся при проведении ВПР в 2023 году»</w:t>
      </w:r>
    </w:p>
    <w:p>
      <w:pPr>
        <w:pStyle w:val="NoSpacing"/>
        <w:rPr>
          <w:sz w:val="22"/>
        </w:rPr>
      </w:pPr>
      <w:r>
        <w:rPr>
          <w:sz w:val="22"/>
        </w:rPr>
        <w:t>Слушали:</w:t>
      </w:r>
    </w:p>
    <w:p>
      <w:pPr>
        <w:pStyle w:val="NoSpacing"/>
        <w:rPr>
          <w:sz w:val="22"/>
        </w:rPr>
      </w:pPr>
      <w:r>
        <w:rPr>
          <w:sz w:val="22"/>
        </w:rPr>
        <w:t>- Ефремову И. Е., заместителя заведующего отделом общего образования управления образования администрации Кимрского муниципального округа</w:t>
      </w:r>
    </w:p>
    <w:p>
      <w:pPr>
        <w:pStyle w:val="NoSpacing"/>
        <w:rPr/>
      </w:pPr>
      <w:r>
        <w:rPr>
          <w:sz w:val="22"/>
        </w:rPr>
        <w:t xml:space="preserve">В выступлении было отмечено, что данная работа в муниципалитете проводится в соответствии с  федеральными  </w:t>
      </w:r>
      <w:r>
        <w:rPr>
          <w:rFonts w:eastAsia="Times New Roman" w:cs="Times New Roman"/>
          <w:spacing w:val="-4"/>
          <w:sz w:val="22"/>
        </w:rPr>
        <w:t xml:space="preserve"> </w:t>
      </w:r>
      <w:hyperlink r:id="rId2">
        <w:r>
          <w:rPr>
            <w:rStyle w:val="Style14"/>
            <w:rFonts w:eastAsia="Times New Roman" w:cs="Times New Roman"/>
            <w:sz w:val="22"/>
          </w:rPr>
          <w:t>рекомендациями по повышению объективности оценки образовательных результатов</w:t>
        </w:r>
      </w:hyperlink>
      <w:r>
        <w:rPr>
          <w:rFonts w:eastAsia="Times New Roman" w:cs="Times New Roman"/>
          <w:sz w:val="22"/>
        </w:rPr>
        <w:t xml:space="preserve"> (письмо Федеральной службы</w:t>
      </w:r>
      <w:r>
        <w:rPr>
          <w:rFonts w:eastAsia="Times New Roman" w:cs="Times New Roman"/>
          <w:spacing w:val="69"/>
          <w:sz w:val="22"/>
        </w:rPr>
        <w:t xml:space="preserve"> </w:t>
      </w:r>
      <w:r>
        <w:rPr>
          <w:rFonts w:eastAsia="Times New Roman" w:cs="Times New Roman"/>
          <w:sz w:val="22"/>
        </w:rPr>
        <w:t>по</w:t>
      </w:r>
      <w:r>
        <w:rPr>
          <w:rFonts w:eastAsia="Times New Roman" w:cs="Times New Roman"/>
          <w:spacing w:val="69"/>
          <w:sz w:val="22"/>
        </w:rPr>
        <w:t xml:space="preserve"> </w:t>
      </w:r>
      <w:r>
        <w:rPr>
          <w:rFonts w:eastAsia="Times New Roman" w:cs="Times New Roman"/>
          <w:sz w:val="22"/>
        </w:rPr>
        <w:t>надзору</w:t>
      </w:r>
      <w:r>
        <w:rPr>
          <w:rFonts w:eastAsia="Times New Roman" w:cs="Times New Roman"/>
          <w:spacing w:val="69"/>
          <w:sz w:val="22"/>
        </w:rPr>
        <w:t xml:space="preserve"> </w:t>
      </w:r>
      <w:r>
        <w:rPr>
          <w:rFonts w:eastAsia="Times New Roman" w:cs="Times New Roman"/>
          <w:sz w:val="22"/>
        </w:rPr>
        <w:t>в</w:t>
      </w:r>
      <w:r>
        <w:rPr>
          <w:rFonts w:eastAsia="Times New Roman" w:cs="Times New Roman"/>
          <w:spacing w:val="67"/>
          <w:sz w:val="22"/>
        </w:rPr>
        <w:t xml:space="preserve"> </w:t>
      </w:r>
      <w:r>
        <w:rPr>
          <w:rFonts w:eastAsia="Times New Roman" w:cs="Times New Roman"/>
          <w:sz w:val="22"/>
        </w:rPr>
        <w:t>сфере</w:t>
      </w:r>
      <w:r>
        <w:rPr>
          <w:rFonts w:eastAsia="Times New Roman" w:cs="Times New Roman"/>
          <w:spacing w:val="68"/>
          <w:sz w:val="22"/>
        </w:rPr>
        <w:t xml:space="preserve"> </w:t>
      </w:r>
      <w:r>
        <w:rPr>
          <w:rFonts w:eastAsia="Times New Roman" w:cs="Times New Roman"/>
          <w:sz w:val="22"/>
        </w:rPr>
        <w:t>образования</w:t>
      </w:r>
      <w:r>
        <w:rPr>
          <w:rFonts w:eastAsia="Times New Roman" w:cs="Times New Roman"/>
          <w:spacing w:val="70"/>
          <w:sz w:val="22"/>
        </w:rPr>
        <w:t xml:space="preserve"> </w:t>
      </w:r>
      <w:r>
        <w:rPr>
          <w:rFonts w:eastAsia="Times New Roman" w:cs="Times New Roman"/>
          <w:sz w:val="22"/>
        </w:rPr>
        <w:t>и</w:t>
      </w:r>
      <w:r>
        <w:rPr>
          <w:rFonts w:eastAsia="Times New Roman" w:cs="Times New Roman"/>
          <w:spacing w:val="67"/>
          <w:sz w:val="22"/>
        </w:rPr>
        <w:t xml:space="preserve"> </w:t>
      </w:r>
      <w:r>
        <w:rPr>
          <w:rFonts w:eastAsia="Times New Roman" w:cs="Times New Roman"/>
          <w:sz w:val="22"/>
        </w:rPr>
        <w:t>науки</w:t>
      </w:r>
      <w:r>
        <w:rPr>
          <w:rFonts w:eastAsia="Times New Roman" w:cs="Times New Roman"/>
          <w:spacing w:val="67"/>
          <w:sz w:val="22"/>
        </w:rPr>
        <w:t xml:space="preserve"> </w:t>
      </w:r>
      <w:r>
        <w:rPr>
          <w:rFonts w:eastAsia="Times New Roman" w:cs="Times New Roman"/>
          <w:sz w:val="22"/>
        </w:rPr>
        <w:t>(Рособрнадзора)</w:t>
      </w:r>
      <w:r>
        <w:rPr>
          <w:rFonts w:eastAsia="Times New Roman" w:cs="Times New Roman"/>
          <w:spacing w:val="68"/>
          <w:sz w:val="22"/>
        </w:rPr>
        <w:t xml:space="preserve"> </w:t>
      </w:r>
      <w:r>
        <w:rPr>
          <w:rFonts w:eastAsia="Times New Roman" w:cs="Times New Roman"/>
          <w:sz w:val="22"/>
        </w:rPr>
        <w:t>от</w:t>
      </w:r>
      <w:r>
        <w:rPr>
          <w:rFonts w:eastAsia="Times New Roman" w:cs="Times New Roman"/>
          <w:spacing w:val="67"/>
          <w:sz w:val="22"/>
        </w:rPr>
        <w:t xml:space="preserve"> </w:t>
      </w:r>
      <w:r>
        <w:rPr>
          <w:rFonts w:eastAsia="Times New Roman" w:cs="Times New Roman"/>
          <w:sz w:val="22"/>
        </w:rPr>
        <w:t>16</w:t>
      </w:r>
      <w:r>
        <w:rPr>
          <w:rFonts w:eastAsia="Times New Roman" w:cs="Times New Roman"/>
          <w:spacing w:val="69"/>
          <w:sz w:val="22"/>
        </w:rPr>
        <w:t xml:space="preserve"> </w:t>
      </w:r>
      <w:r>
        <w:rPr>
          <w:rFonts w:eastAsia="Times New Roman" w:cs="Times New Roman"/>
          <w:sz w:val="22"/>
        </w:rPr>
        <w:t>марта</w:t>
      </w:r>
      <w:r>
        <w:rPr>
          <w:rFonts w:eastAsia="Times New Roman" w:cs="Times New Roman"/>
          <w:spacing w:val="68"/>
          <w:sz w:val="22"/>
        </w:rPr>
        <w:t xml:space="preserve"> </w:t>
      </w:r>
      <w:r>
        <w:rPr>
          <w:rFonts w:eastAsia="Times New Roman" w:cs="Times New Roman"/>
          <w:sz w:val="22"/>
        </w:rPr>
        <w:t>2018</w:t>
      </w:r>
      <w:r>
        <w:rPr>
          <w:rFonts w:eastAsia="Times New Roman" w:cs="Times New Roman"/>
          <w:spacing w:val="69"/>
          <w:sz w:val="22"/>
        </w:rPr>
        <w:t xml:space="preserve"> </w:t>
      </w:r>
      <w:r>
        <w:rPr>
          <w:rFonts w:eastAsia="Times New Roman" w:cs="Times New Roman"/>
          <w:sz w:val="22"/>
        </w:rPr>
        <w:t>года</w:t>
      </w:r>
      <w:r>
        <w:rPr>
          <w:rFonts w:eastAsia="Times New Roman" w:cs="Times New Roman"/>
          <w:spacing w:val="68"/>
          <w:sz w:val="22"/>
        </w:rPr>
        <w:t xml:space="preserve"> </w:t>
      </w:r>
      <w:r>
        <w:rPr>
          <w:rFonts w:eastAsia="Times New Roman" w:cs="Times New Roman"/>
          <w:sz w:val="22"/>
        </w:rPr>
        <w:t>№</w:t>
      </w:r>
      <w:r>
        <w:rPr>
          <w:rFonts w:eastAsia="Times New Roman" w:cs="Times New Roman"/>
          <w:spacing w:val="67"/>
          <w:sz w:val="22"/>
        </w:rPr>
        <w:t xml:space="preserve"> </w:t>
      </w:r>
      <w:r>
        <w:rPr>
          <w:rFonts w:eastAsia="Times New Roman" w:cs="Times New Roman"/>
          <w:sz w:val="22"/>
        </w:rPr>
        <w:t>05-</w:t>
      </w:r>
      <w:r>
        <w:rPr>
          <w:rFonts w:eastAsia="Times New Roman" w:cs="Times New Roman"/>
          <w:spacing w:val="-5"/>
          <w:sz w:val="22"/>
        </w:rPr>
        <w:t xml:space="preserve">71 </w:t>
      </w:r>
      <w:r>
        <w:rPr>
          <w:rFonts w:eastAsia="Times New Roman" w:cs="Times New Roman"/>
          <w:sz w:val="22"/>
        </w:rPr>
        <w:t>«О</w:t>
      </w:r>
      <w:r>
        <w:rPr>
          <w:rFonts w:eastAsia="Times New Roman" w:cs="Times New Roman"/>
          <w:spacing w:val="-10"/>
          <w:sz w:val="22"/>
        </w:rPr>
        <w:t xml:space="preserve"> </w:t>
      </w:r>
      <w:r>
        <w:rPr>
          <w:rFonts w:eastAsia="Times New Roman" w:cs="Times New Roman"/>
          <w:sz w:val="22"/>
        </w:rPr>
        <w:t>направлении</w:t>
      </w:r>
      <w:r>
        <w:rPr>
          <w:rFonts w:eastAsia="Times New Roman" w:cs="Times New Roman"/>
          <w:spacing w:val="-11"/>
          <w:sz w:val="22"/>
        </w:rPr>
        <w:t xml:space="preserve"> </w:t>
      </w:r>
      <w:r>
        <w:rPr>
          <w:rFonts w:eastAsia="Times New Roman" w:cs="Times New Roman"/>
          <w:sz w:val="22"/>
        </w:rPr>
        <w:t>рекомендаций</w:t>
      </w:r>
      <w:r>
        <w:rPr>
          <w:rFonts w:eastAsia="Times New Roman" w:cs="Times New Roman"/>
          <w:spacing w:val="-9"/>
          <w:sz w:val="22"/>
        </w:rPr>
        <w:t xml:space="preserve"> </w:t>
      </w:r>
      <w:r>
        <w:rPr>
          <w:rFonts w:eastAsia="Times New Roman" w:cs="Times New Roman"/>
          <w:sz w:val="22"/>
        </w:rPr>
        <w:t>по</w:t>
      </w:r>
      <w:r>
        <w:rPr>
          <w:rFonts w:eastAsia="Times New Roman" w:cs="Times New Roman"/>
          <w:spacing w:val="-8"/>
          <w:sz w:val="22"/>
        </w:rPr>
        <w:t xml:space="preserve"> </w:t>
      </w:r>
      <w:r>
        <w:rPr>
          <w:rFonts w:eastAsia="Times New Roman" w:cs="Times New Roman"/>
          <w:sz w:val="22"/>
        </w:rPr>
        <w:t>повышению</w:t>
      </w:r>
      <w:r>
        <w:rPr>
          <w:rFonts w:eastAsia="Times New Roman" w:cs="Times New Roman"/>
          <w:spacing w:val="-10"/>
          <w:sz w:val="22"/>
        </w:rPr>
        <w:t xml:space="preserve"> </w:t>
      </w:r>
      <w:r>
        <w:rPr>
          <w:rFonts w:eastAsia="Times New Roman" w:cs="Times New Roman"/>
          <w:sz w:val="22"/>
        </w:rPr>
        <w:t>объективности</w:t>
      </w:r>
      <w:r>
        <w:rPr>
          <w:rFonts w:eastAsia="Times New Roman" w:cs="Times New Roman"/>
          <w:spacing w:val="-11"/>
          <w:sz w:val="22"/>
        </w:rPr>
        <w:t xml:space="preserve"> </w:t>
      </w:r>
      <w:r>
        <w:rPr>
          <w:rFonts w:eastAsia="Times New Roman" w:cs="Times New Roman"/>
          <w:sz w:val="22"/>
        </w:rPr>
        <w:t>оценки</w:t>
      </w:r>
      <w:r>
        <w:rPr>
          <w:rFonts w:eastAsia="Times New Roman" w:cs="Times New Roman"/>
          <w:spacing w:val="-10"/>
          <w:sz w:val="22"/>
        </w:rPr>
        <w:t xml:space="preserve"> </w:t>
      </w:r>
      <w:r>
        <w:rPr>
          <w:rFonts w:eastAsia="Times New Roman" w:cs="Times New Roman"/>
          <w:sz w:val="22"/>
        </w:rPr>
        <w:t>образовательных</w:t>
      </w:r>
      <w:r>
        <w:rPr>
          <w:rFonts w:eastAsia="Times New Roman" w:cs="Times New Roman"/>
          <w:spacing w:val="-9"/>
          <w:sz w:val="22"/>
        </w:rPr>
        <w:t xml:space="preserve"> </w:t>
      </w:r>
      <w:r>
        <w:rPr>
          <w:rFonts w:eastAsia="Times New Roman" w:cs="Times New Roman"/>
          <w:spacing w:val="-2"/>
          <w:sz w:val="22"/>
        </w:rPr>
        <w:t xml:space="preserve">результатов»), </w:t>
      </w:r>
      <w:bookmarkStart w:id="0" w:name="_Hlk106790733"/>
      <w:r>
        <w:rPr>
          <w:rFonts w:eastAsia="Times New Roman" w:cs="Times New Roman"/>
          <w:spacing w:val="-2"/>
          <w:sz w:val="22"/>
        </w:rPr>
        <w:t>Порядком организации и проведения ВПР в  2023 году, утвержденным приказом Министерства образования Тверской области от 22.02.2023 №189/ПК,  Положением о региональной системе оценки качества образования Тверской области на 2023 год, утвержденным приказом Министерства образования Тверской области от 24.12.2022 №1292/ПК</w:t>
      </w:r>
      <w:bookmarkEnd w:id="0"/>
      <w:r>
        <w:rPr>
          <w:rFonts w:eastAsia="Times New Roman" w:cs="Times New Roman"/>
          <w:spacing w:val="-2"/>
          <w:sz w:val="22"/>
        </w:rPr>
        <w:t xml:space="preserve"> и направлена на повышение объективности проведения оценочных процедур, формирование среди всех участников образовательных отношений позитивного отношения к объективной оценке образовательных результатов обучающихся.</w:t>
      </w:r>
    </w:p>
    <w:p>
      <w:pPr>
        <w:pStyle w:val="NoSpacing"/>
        <w:rPr>
          <w:sz w:val="22"/>
        </w:rPr>
      </w:pPr>
      <w:r>
        <w:rPr>
          <w:sz w:val="22"/>
        </w:rPr>
        <w:t>Решили:</w:t>
      </w:r>
    </w:p>
    <w:p>
      <w:pPr>
        <w:pStyle w:val="NoSpacing"/>
        <w:rPr>
          <w:sz w:val="22"/>
        </w:rPr>
      </w:pPr>
      <w:r>
        <w:rPr>
          <w:sz w:val="22"/>
        </w:rPr>
        <w:t>Для обеспечения объективности оценки качества подготовки обучающихся при проведении ВПР в 2023 году с учетом специфики муниципального образования (МОУ «Средняя школа №4» - необъективные результаты, МОУ «Средняя школа №5» и МОУ Маловасилевская школа – низкие результаты) в соответствии с Порядком организации и проведения ВПР в 4-8, 10-11 классах в 2023 году и Положением о региональной системе оценки качества образования Тверской области на 2023 год, руководителям всех ОО:</w:t>
      </w:r>
    </w:p>
    <w:p>
      <w:pPr>
        <w:pStyle w:val="NoSpacing"/>
        <w:numPr>
          <w:ilvl w:val="0"/>
          <w:numId w:val="1"/>
        </w:numPr>
        <w:ind w:left="0" w:firstLine="709"/>
        <w:rPr>
          <w:sz w:val="22"/>
        </w:rPr>
      </w:pPr>
      <w:r>
        <w:rPr>
          <w:sz w:val="22"/>
        </w:rPr>
        <w:t>Провести разъяснительную работу с педагогами по недопущению получения необъективных результатов;</w:t>
      </w:r>
    </w:p>
    <w:p>
      <w:pPr>
        <w:pStyle w:val="NoSpacing"/>
        <w:rPr>
          <w:sz w:val="22"/>
        </w:rPr>
      </w:pPr>
      <w:r>
        <w:rPr>
          <w:sz w:val="22"/>
        </w:rPr>
        <w:t>Срок: январь</w:t>
      </w:r>
    </w:p>
    <w:p>
      <w:pPr>
        <w:pStyle w:val="NoSpacing"/>
        <w:rPr>
          <w:sz w:val="22"/>
        </w:rPr>
      </w:pPr>
      <w:r>
        <w:rPr>
          <w:sz w:val="22"/>
        </w:rPr>
        <w:t>Отв.: руководители ОО</w:t>
      </w:r>
    </w:p>
    <w:p>
      <w:pPr>
        <w:pStyle w:val="NoSpacing"/>
        <w:numPr>
          <w:ilvl w:val="0"/>
          <w:numId w:val="1"/>
        </w:numPr>
        <w:ind w:left="0" w:firstLine="709"/>
        <w:rPr>
          <w:sz w:val="22"/>
        </w:rPr>
      </w:pPr>
      <w:r>
        <w:rPr>
          <w:sz w:val="22"/>
        </w:rPr>
        <w:t>Организовать проведение профилактической работы с обучающимися – участниками ВПР (классные часы, беседы) по формированию позитивного отношения к объективному оцениванию;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февраль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</w:t>
      </w:r>
    </w:p>
    <w:p>
      <w:pPr>
        <w:pStyle w:val="NoSpacing"/>
        <w:rPr>
          <w:sz w:val="22"/>
        </w:rPr>
      </w:pPr>
      <w:r>
        <w:rPr>
          <w:sz w:val="22"/>
        </w:rPr>
        <w:t>3.Провести разъяснительную работу с родителями обучающихся по формированию позитивного отношения к объективному оцениванию во время встреч с родителями, на родительских собраниях;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февраль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</w:t>
      </w:r>
    </w:p>
    <w:p>
      <w:pPr>
        <w:pStyle w:val="NoSpacing"/>
        <w:rPr>
          <w:sz w:val="22"/>
        </w:rPr>
      </w:pPr>
      <w:r>
        <w:rPr>
          <w:sz w:val="22"/>
        </w:rPr>
        <w:t>4.Сформировать  в ОО независимые предметные комиссии для проверки работ обучающихся без привлечения педагогов, работающих в проверяемом классе/параллели;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февраль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</w:t>
      </w:r>
    </w:p>
    <w:p>
      <w:pPr>
        <w:pStyle w:val="NoSpacing"/>
        <w:rPr>
          <w:sz w:val="22"/>
        </w:rPr>
      </w:pPr>
      <w:r>
        <w:rPr>
          <w:sz w:val="22"/>
        </w:rPr>
        <w:t>5. Направить педагогов школы для работы в муниципальной предметной комиссии по проверке работ ВПР;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до 10.03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</w:t>
      </w:r>
    </w:p>
    <w:p>
      <w:pPr>
        <w:pStyle w:val="NoSpacing"/>
        <w:rPr>
          <w:sz w:val="22"/>
        </w:rPr>
      </w:pPr>
      <w:r>
        <w:rPr>
          <w:sz w:val="22"/>
        </w:rPr>
        <w:t>6. Организовать независимое общественное наблюдение при проведении ВПР и при проверке работ обучающихся.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до 10.03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</w:t>
      </w:r>
    </w:p>
    <w:p>
      <w:pPr>
        <w:pStyle w:val="NoSpacing"/>
        <w:rPr>
          <w:sz w:val="22"/>
        </w:rPr>
      </w:pPr>
      <w:r>
        <w:rPr>
          <w:sz w:val="22"/>
        </w:rPr>
        <w:t>7. Разработать порядок проведения ВПР в ОО в соответствии с муниципальным порядком.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до 10.03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</w:t>
      </w:r>
    </w:p>
    <w:p>
      <w:pPr>
        <w:pStyle w:val="NoSpacing"/>
        <w:rPr>
          <w:sz w:val="22"/>
        </w:rPr>
      </w:pPr>
      <w:r>
        <w:rPr>
          <w:sz w:val="22"/>
        </w:rPr>
        <w:t>8.Обеспечить выполнение мер по информационной безопасности в период проведения ВПР.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постоянно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5378e9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ioco.ru/Media/Default/Documents/&#1054;&#1057;&#1054;&#1050;&#1054;/&#1042;&#1055;&#1056;/&#1056;&#1077;&#1082;&#1086;&#1084;&#1077;&#1085;&#1076;&#1072;&#1094;&#1080;&#1080; &#1087;&#1086; &#1086;&#1073;&#1098;&#1077;&#1082;&#1090;&#1080;&#1074;&#1085;&#1086;&#1089;&#1090;&#1080;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LibreOffice/5.4.1.2$Windows_X86_64 LibreOffice_project/ea7cb86e6eeb2bf3a5af73a8f7777ac570321527</Application>
  <Pages>2</Pages>
  <Words>395</Words>
  <Characters>2751</Characters>
  <CharactersWithSpaces>3192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2023-09-08T09:22:00Z</dcterms:created>
  <dc:creator>Ермакова НП</dc:creator>
  <dc:description/>
  <dc:language>ru-RU</dc:language>
  <cp:lastModifiedBy>Ермакова НП</cp:lastModifiedBy>
  <dcterms:modified xsi:type="dcterms:W3CDTF">2023-09-08T09:22:00Z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