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C777" w14:textId="77777777" w:rsidR="009C2923" w:rsidRPr="009C2923" w:rsidRDefault="009C2923" w:rsidP="009C292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</w:pPr>
      <w:r w:rsidRPr="009C2923">
        <w:rPr>
          <w:rFonts w:ascii="Arial" w:eastAsia="Times New Roman" w:hAnsi="Arial" w:cs="Arial"/>
          <w:b/>
          <w:bCs/>
          <w:color w:val="2D2D2D"/>
          <w:spacing w:val="2"/>
          <w:kern w:val="36"/>
          <w:sz w:val="34"/>
          <w:szCs w:val="34"/>
          <w:lang w:eastAsia="ru-RU"/>
        </w:rPr>
        <w:t>О рекомендациях по порядку комплектования дошкольных образовательных учреждений</w:t>
      </w:r>
    </w:p>
    <w:p w14:paraId="5BA3EC6E" w14:textId="77777777" w:rsidR="009C2923" w:rsidRPr="009C2923" w:rsidRDefault="009C2923" w:rsidP="009C292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Министерство образования и науки Российской Федерации</w:t>
      </w: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ДЕПАРТАМЕНТ ГОСУДАРСТВЕННОЙ ПОЛИТИКИ В СФЕРЕ ОБЩЕГО ОБРАЗОВАНИЯ</w:t>
      </w:r>
    </w:p>
    <w:p w14:paraId="3AB22DC0" w14:textId="77777777" w:rsidR="009C2923" w:rsidRPr="009C2923" w:rsidRDefault="009C2923" w:rsidP="009C292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ПИСЬМО</w:t>
      </w:r>
    </w:p>
    <w:p w14:paraId="6091E6E7" w14:textId="77777777" w:rsidR="009C2923" w:rsidRPr="009C2923" w:rsidRDefault="009C2923" w:rsidP="009C292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8 августа 2013 года N 08-1063</w:t>
      </w:r>
    </w:p>
    <w:p w14:paraId="5854290C" w14:textId="77777777" w:rsidR="009C2923" w:rsidRPr="009C2923" w:rsidRDefault="009C2923" w:rsidP="009C2923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    </w:t>
      </w: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 рекомендациях по порядку комплектования дошкольных образовательных учреждений</w:t>
      </w:r>
    </w:p>
    <w:p w14:paraId="2FB7983D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целях реализации положений </w:t>
      </w:r>
      <w:hyperlink r:id="rId4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Указа Президента Российской Федерации от 7 мая 2012 года N 599 "О мерах по реализации государственной политики в области образования и науки"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в части обеспечения доступности дошкольного образования, а также во исполнение решений совещания у Заместителя Председателя Правительства Российской Федерации </w:t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О.Ю.Голодец</w:t>
      </w:r>
      <w:proofErr w:type="spellEnd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от 16 июля 2013 года, Департамент государственной политики в сфере общего образования Минобрнауки России направляет рекомендации по порядку комплектования образовательных учреждений, реализующих основную общеобразовательную программу дошкольного образования, в которых предлагаются единые подходы к учету численности детей, нуждающихся в предоставлении места в образовательном учреждении, реализующем программы дошкольного образования, а также определяются единые сроки формирования реестра заявлений о предоставлении места в дошкольном учреждении в текущем учебном году.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1581EB3" w14:textId="77777777" w:rsidR="009C2923" w:rsidRPr="009C2923" w:rsidRDefault="009C2923" w:rsidP="009C2923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Заместитель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директора Департамента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И.И.Тараданова</w:t>
      </w:r>
      <w:proofErr w:type="spellEnd"/>
    </w:p>
    <w:p w14:paraId="1C9E77E5" w14:textId="77777777" w:rsidR="009C2923" w:rsidRPr="009C2923" w:rsidRDefault="009C2923" w:rsidP="009C2923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9C2923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Приложение. Рекомендации по порядку комплектования образовательных учреждений, реализующих основную общеобразовательную программу дошкольного образования</w:t>
      </w:r>
    </w:p>
    <w:p w14:paraId="066A4EE2" w14:textId="77777777" w:rsidR="009C2923" w:rsidRPr="009C2923" w:rsidRDefault="009C2923" w:rsidP="009C292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C292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I. Понятийная база</w:t>
      </w:r>
    </w:p>
    <w:p w14:paraId="3760DA8A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рекомендациях используются следующие понятия: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9ACC0F1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1. </w:t>
      </w:r>
      <w:r w:rsidRPr="009C292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Учет детей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нуждающихся в предоставлении места в образовательном учреждении, реализующем основную образовательную программу дошкольного образования (далее 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соответственно - учет, учреждение или ДОУ) - это государственная (муниципальная) услуга регистрации детей, нуждающихся в предоставлении места в учреждении, на едином общедоступном портале, специально созданном в сети Интернет, 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учреждении и (или) иных формах.</w:t>
      </w:r>
    </w:p>
    <w:p w14:paraId="1372AB1B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Под </w:t>
      </w:r>
      <w:r w:rsidRPr="009C292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очередностью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в ДОУ понимается список детей, поставленных на учет для предоставления места в дошкольном учреждении в текущем учебном году, но таким местом не обеспеченных на дату начала учебного года (1 сентября текущего учебного года). </w:t>
      </w:r>
      <w:r w:rsidRPr="009C292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Показатели очередности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- это численность детей, входящих в указанный список.</w:t>
      </w:r>
    </w:p>
    <w:p w14:paraId="311ADE36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 целью получения объективной информации о численности детей, поставленных на учет для зачисления в ДОУ, а также о численности детей, нуждающихся в предоставлении места в учреждении в текущем учебном году (актуальный спрос) и в последующие годы (отложенный спрос), органы государственной власти субъекта Российской Федерации создают </w:t>
      </w:r>
      <w:r w:rsidRPr="009C292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единый информационный ресурс (ЕИР)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аккумулирующий данные о численности детей, поставленных на учет во всех городских округах (муниципальных районах), расположенных на территории субъекта Российской Федерации.</w:t>
      </w:r>
    </w:p>
    <w:p w14:paraId="6ECB8851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Под </w:t>
      </w:r>
      <w:r w:rsidRPr="009C2923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порядком комплектования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ДОУ понимается последовательность действий учредителя при формировании контингента воспитанников дошкольных учреждений, осуществляемых в том числе ЕИР, созданным в муниципальном районе (городском округе) или в субъекте Российской Федерации. При установлении порядка комплектования ДОУ обеспечивается соблюдение прав граждан в области образования, установленных законодательством Российской Федерации. Учреждения комплектуются детьми, поставленными на учет для предоставления места в дошкольном учреждении.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1398F4E" w14:textId="77777777" w:rsidR="009C2923" w:rsidRPr="009C2923" w:rsidRDefault="009C2923" w:rsidP="009C292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C292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II. Рекомендации по учету детей, нуждающихся в предоставлении места в ДОУ</w:t>
      </w:r>
    </w:p>
    <w:p w14:paraId="683B4AD2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Учет осуществляется в целях обеспечения "прозрачности" процедуры приема детей в ДОУ, избежания нарушений прав ребенка при приеме в ДОУ, планирования обеспечения необходимого и достаточного количества мест в учреждениях на конкретную дату для удовлетворения потребности граждан в дошкольном образовании, а также присмотре и уходе за детьми дошкольного возраста.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45B24FED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Учет осуществляется в порядке, установленном органами местного самоуправления муниципальных районов и городских округов. Учет осуществляет (ют) уполномоченный (</w:t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ые</w:t>
      </w:r>
      <w:proofErr w:type="spellEnd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органами местного самоуправления орган (</w:t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ны</w:t>
      </w:r>
      <w:proofErr w:type="spellEnd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или организация (</w:t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ии</w:t>
      </w:r>
      <w:proofErr w:type="spellEnd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(далее - уполномоченный орган или организация). Учет может производиться на электронном и (или) бумажном носителях с указанием фамилии и имени ребенка, его возраста (числа полных лет), даты постановки на учет и желаемой даты предоставления места в ДОУ. Форма учетного документа утверждается соответствующими органами местного самоуправления муниципальных районов и городских округов.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4B117AE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3. Учет включает: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составление поименного списка (реестра) детей, нуждающихся в предоставлении места в ДОУ, в соответствии с датой постановки на учет и наличием права на предоставление места в ДОУ в первоочередном порядке (если таковое имеется). В зависимости от даты, с которой планируется посещение ребенком ДОУ, реестр дифференцируется на списки </w:t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погодового</w:t>
      </w:r>
      <w:proofErr w:type="spellEnd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учета детей, нуждающихся в предоставлении места в ДОУ в текущем учебном году (с 1 сентября текущего календарного года) (актуальный спрос) и в последующие годы (отложенный спрос);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систематическое обновление реестра с учетом предоставления детям мест в ДОУ;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формирование списка "очередников" из числа детей, нуждающихся в предоставлении места в ДОУ в текущем учебном году, но таким местом не обеспеченные на дату начала учебного года (1 сентября текущего учебного года).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8E64D38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Учет рекомендуется организовать через единый информационный ресурс (ЕИР), созданный в муниципальном районе (городском округе) или в субъекте Российской Федерации. Постановка на учет осуществляется путем заполнения интерактивной формы заявления на специально организованном общедоступном портале в сети Интернет родителями (законными представителями) либо универсальными специалистами уполномоченного органа или организации на основании личного обращения родителей (законных представителей) либо по их письменному заявлению в адрес уполномоченного органа или организации. Письменное заявление может быть направлено почтовым сообщением или по адресу электронной почты уполномоченного органа или организации.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62D4379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В заявлении о постановке на учёт в обязательном порядке указываются дата рождения ребенка, дата, с которой планируется начало посещения ребёнком дошкольного учреждения, адрес фактического проживания ребёнка, желательное (</w:t>
      </w:r>
      <w:proofErr w:type="spellStart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ые</w:t>
      </w:r>
      <w:proofErr w:type="spellEnd"/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ДОУ. При постановке на учет при личном обращении родители (законные представители) предъявляют паспорт или иной документ, удостоверяющий личность родителей (законных представителей), свидетельство о рождении ребенка, документы, удостоверяющие право на предоставление места в ДОУ в первоочередном порядке (если таковое имеется). При постановке на учет на специально организованном общедоступном портале в сети Интернет (далее - Портал) к интерактивной форме заявления прилагаются электронные образцы документов, подтверждающих сведения, указанные в заявлении.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заполнении интерактивной формы заявления ЕИР формирует список учреждений, из которых родители (законные представители) могут выбрать не более трех учреждений: первое из выбранных учреждений является приоритетным, другие - дополнительными.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182429E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Портал должен обеспечивать возможность отдельной постановки на учет детей с ограниченными возможностями здоровья для предоставления места в дошкольном учреждении или дошкольной группе компенсирующей, комбинированной или оздоровительной направленности для своевременной коррекции недостатков в физическом и (или) психическом развитии. Для этого на портале организуется отдельный ЕИР для 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муниципальной или региональной медико-психолого-педагогической комиссии (далее - ПМПК).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После регистрации заявления в ЕИР ребенок направляется на обследование в муниципальную (региональную) ПМПК, которая принимает решение о необходимости предоставления ребенку места в дошкольном учреждении или дошкольной группе компенсирующей, комбинированной или оздоровительной направленности. На основании решения ПМПК ребенок вносится в список детей с ограниченными возможностями здоровья, которым необходимо предоставить место в дошкольном учреждении или дошкольной группе компенсирующей, комбинированной или оздоровительной направленности.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D4249B6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7. Родителям (законным представителям) детей, представившим документы о постановке на учет лично, выдается сертификат (обязательство органов местного самоуправления) о предоставлении ребенку с требуемой даты места в ДОУ (далее -сертификат) с указанием стоимости услуги дошкольного образования в соответствии с нормативом, установленным в соответствующем муниципальном районе или городском округе (субъекте Российской Федерации). Родителям (законным представителям) детей, осуществившим постановку на учет на специально организованном общедоступном портале в сети Интернет, по электронной почте высылается электронная версия сертификата.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Сертификат содержит информацию: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регистрационном номере заявления о постановке на учет;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контактных телефонах или сайте уполномоченного органа или организации, по которому (на котором) родители (законные представители) могут узнать о продвижении очереди;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вариативных формах дошкольного образования, которые могут быть предоставлены ребенку временно начиная с желаемой даты начала посещения ДОУ в течение установленного времени (но не дольше календарного года с желаемой даты) при невозможности предоставить место в ДОУ (группах кратковременного пребывания, негосударственных образовательных учреждениях, дошкольном образовании в форме психолого-педагогическое сопровождения содержания ребенка в семье, или о выплате компенсации за непосещение ребенком ДОУ).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312D2A9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Уполномоченный орган или организация через ЕИР составляют списки поставленных на учет детей, нуждающихся в предоставлении места в ДОУ в текущем учебном году и в последующие годы в соответствии с датой постановки на учет и с учетом права на предоставление места в ДОУ в первоочередном порядке.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4289967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 Список детей, нуждающихся в предоставлении места в ДОУ с 1 сентября текущего календарного года, формируется на определенную дату (не позднее даты начала комплектования дошкольных учреждений), установленную учредителем (например, на 1 июня календарного года для предоставления ребенку места с 1 сентября календарного года). После установленной даты в список детей, нуждающихся в предоставлении места в 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дошкольном учреждении с 1 сентября текущего календарного года, могут быть дополнительно включены только дети, имеющие право первоочередного (внеочередного) приема в ДОУ.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Дети, родители которых заполнили заявление о постановке на учет после установленной даты (после 1 июня текущего календарного года), включаются в список детей, которым место в ДОУ необходимо предоставить с 1 сентября следующего календарного года.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После установленной даты в список детей могут быть также внесены изменения, касающиеся переноса даты поступления в ДОУ на последующие периоды и изменения данных ребенка.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491CF93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Родители (законные представители) имеют право в срок до установленной учредителем даты (например, до 1 июня года, в котором планируется зачисление ребенка в ДОУ), внести следующие изменения в заявление с сохранением даты постановки ребенка на учет: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изменить ранее выбранный год поступления ребенка в ДОУ;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изменить выбранные ранее учреждения;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желании сменить учреждение, которое уже посещает ребенок, на другое, расположенное на территории городского округа или муниципального района (субъекта Российской Федерации);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изменить сведения о льготе;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изменить данные о ребенке (смена фамилии, имени, отчества, адреса).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Родители (законные представители) могут внести изменения в заявление через личный кабинет на Портале или при личном обращении в уполномоченный орган или организацию.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8D4F4FF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Дети, родители (законные представители) которых имеют право на внеочередное зачисление ребенка в учреждение: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граждан, подвергшихся воздействию радиации вследствие катастрофы на Чернобыльской АЭС (</w:t>
      </w:r>
      <w:hyperlink r:id="rId5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Российской Федерации от 15 мая 1991 года N 1244-1 "О социальной защите граждан, подвергшихся воздействию радиации вследствие катастрофы на Чернобыльской АЭС"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граждан из подразделений особого риска, а также семей, потерявших кормильца из числа этих граждан (</w:t>
      </w:r>
      <w:hyperlink r:id="rId6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 Верховного Совета Российской Федерации от 27 декабря 1991 года N 2123-1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прокуроров (</w:t>
      </w:r>
      <w:hyperlink r:id="rId7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17 января 1992 года N 2202-1 "О прокуратуре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дети судей (</w:t>
      </w:r>
      <w:hyperlink r:id="rId8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Закон Российской Федерации от 26 июня 1992 года N 3132-1 "О статусе судей в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сотрудников Следственного комитета Российской Федерации (</w:t>
      </w:r>
      <w:hyperlink r:id="rId9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28 декабря 2010 года N 403-ФЗ "О Следственном комитете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CC7B61F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Дети, родители (законные представители) которых имеют право на первоочередное зачисление ребенка в учреждение: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из многодетных семей (</w:t>
      </w:r>
      <w:hyperlink r:id="rId10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 Президента Российской Федерации от 5 мая 1992 года N 431 "О мерах по социальной поддержке семей"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дети-инвалиды и дети, один из родителей которых является инвалидом (</w:t>
      </w:r>
      <w:hyperlink r:id="rId11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Указ Президента Российской Федерации от 2 октября 1992 года N 1157 "О дополнительных мерах государственной поддержки инвалидов"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12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27 мая 1998 года N 76-ФЗ "О статусе военнослужащих"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сотрудников полиции (</w:t>
      </w:r>
      <w:hyperlink r:id="rId13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7 февраля 2011 года N 3-ФЗ "О полиции"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14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7 февраля 2011 года N 3-ФЗ "О полиции"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сотрудника полиции, умершего вследствие заболевания, полученного в период прохождения службы в полиции (</w:t>
      </w:r>
      <w:hyperlink r:id="rId15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7 февраля 2011 года N 3-ФЗ "О полиции"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hyperlink r:id="rId16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7 февраля 2011 года N 3-ФЗ "О полиции"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</w:t>
      </w:r>
      <w:hyperlink r:id="rId17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7 февраля 2011 года N 3-ФЗ "О полиции"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сотрудников органов внутренних дел, не являющихся сотрудниками полиции (</w:t>
      </w:r>
      <w:hyperlink r:id="rId18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7 февраля 2011 года N 3-ФЗ "О полиции"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</w:r>
      <w:hyperlink r:id="rId19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</w:t>
      </w:r>
      <w:hyperlink r:id="rId20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</w:t>
      </w:r>
      <w:hyperlink r:id="rId21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</w:t>
      </w:r>
      <w:hyperlink r:id="rId22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 период прохождения службы в учреждениях и органах, исключивших возможность дальнейшего прохождения службы в учреждениях и органах (</w:t>
      </w:r>
      <w:hyperlink r:id="rId23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Федеральный закон от 30 декабря 2012 года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 года Пр-1227).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4A2BB25" w14:textId="77777777" w:rsidR="009C2923" w:rsidRPr="009C2923" w:rsidRDefault="009C2923" w:rsidP="009C2923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9C2923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III. Рекомендации по порядку комплектования ДОУ</w:t>
      </w:r>
    </w:p>
    <w:p w14:paraId="21F26C42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Порядок комплектования дошкольного образовательного учреждения определяется учредителем в соответствии с законодательством Российской Федерации и закрепляется в уставе ДОУ</w:t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3E4A0F5" wp14:editId="74FF9591">
                <wp:extent cx="85725" cy="219075"/>
                <wp:effectExtent l="0" t="0" r="0" b="0"/>
                <wp:docPr id="2" name="Прямоугольник 2" descr="О рекомендациях по порядку комплектования дошкольных образовательных учрежден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26C270" id="Прямоугольник 2" o:spid="_x0000_s1026" alt="О рекомендациях по порядку комплектования дошкольных образовательных учрежден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noProof/>
          <w:color w:val="2D2D2D"/>
          <w:spacing w:val="2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0C19CF38" wp14:editId="552F4E6A">
                <wp:extent cx="85725" cy="219075"/>
                <wp:effectExtent l="0" t="0" r="0" b="0"/>
                <wp:docPr id="1" name="Прямоугольник 1" descr="О рекомендациях по порядку комплектования дошкольных образовательных учреждени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19082" id="Прямоугольник 1" o:spid="_x0000_s1026" alt="О рекомендациях по порядку комплектования дошкольных образовательных учреждений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24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 25 Типового положения о дошкольном образовательном учреждении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 </w:t>
      </w:r>
      <w:hyperlink r:id="rId25" w:history="1">
        <w:r w:rsidRPr="009C2923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Министерства образования и науки Российской Федерации от 27 октября 2011 года N 2562</w:t>
        </w:r>
      </w:hyperlink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(зарегистрировано в Министерстве юстиции Российской Федерации 18 января 2012 года, регистрационный N 22946) ("Российская газета", 2012, N 15).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C2FF684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Учредитель комплектует учреждения ежегодно в установленный период времени (например, в период с 1 июня по 1 сентября текущего календарного года), распределяя по ДОУ детей, поставленных на учет для предоставления места в ДОУ и включенных в список детей, которым место в дошкольном учреждении необходимо с 1 сентября текущего года.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7111E4B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В остальное время производится комплектование ДОУ на свободные (освободившиеся, вновь созданные) места.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6C3CBEF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Если в процессе комплектования места в ДОУ предоставляются не всем детям, состоящим на учете для предоставления места с 1 сентября текущего года, эти дети переходят в статус "очередников". Они обеспечиваются местами в ДОУ на свободные (освобождающиеся, вновь созданные) места в течение учебного года либо учитываются в списке нуждающихся в месте в ДОУ с 1 сентября следующего календарного года.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0735B81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17. Учредитель систематически (не реже одного раза в месяц) в течение календарного года обобщает и анализирует через ЕИР сведения о наличии в ДОУ свободных мест 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(освобождающихся мест и вновь созданных мест), предоставляя свободные места детям, состоящим на учете для предоставления места в текущем учебном году.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48A28E0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При комплектовании ДОУ рекомендуется соблюдать следующую норму: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334ED804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При отсутствии свободных мест в выбранных ДОУ, родителям (законным представителям) могут быть предложены свободные места в других учреждениях в доступной близости от места проживания ребенка. Информация направляется родителям (законным представителям) в личный кабинет на Портале. Родителям (законным представителям) предлагается в течение 14 календарных дней выбрать ДОУ из предложенных.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72C1E598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При отказе родителей (законных представителей) или при отсутствии их согласия/отказа от предложенных (предложенного) ДОУ изменяется желаемая дата поступления на следующий учебный год с сохранением даты постановки на учет. Информация об изменении желаемой даты поступления ребенка размещается в личном кабинете на Портале.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1391F7C0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21. В случае, если органы местного самоуправления не могут обеспечить местом в ДОУ ребенка из списка поставленных на учет с 1 сентября текущего года, они до предоставления такому ребенку места в дошкольном учреждении обеспечивают ему возможность получения дошкольного образования в одной из вариативных форм, в том числе: в дошкольных группах, созданных в образовательных учреждениях других типов и видов; в семье посредством психолого-педагогического сопровождения его воспитания и образования; в негосударственном образовательном учреждении; в семейных дошкольных группах; в группах кратковременного пребывания; в иных формах и учреждениях.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 этом ребенок числится в списке очередников и не снимается с учета для предоставления места. Ему должно быть предоставлено свободное (освободившееся или вновь созданное место) в текущем учебном году либо место в ДОУ с 1 сентября следующего года.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61DA3A38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22. Если в процессе комплектования места предоставлены всем детям из поименного списка нуждающихся в местах в ДОУ в текущем учебном году, свободные места могут быть предоставлены детям, числящимся в поименном списке поставленных на учет для предоставления места в следующем году.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0BF85C66" w14:textId="77777777" w:rsidR="009C2923" w:rsidRPr="009C2923" w:rsidRDefault="009C2923" w:rsidP="009C2923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23. Учредитель извещает родителей (законных представителей) детей: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времени предоставления ребенку места в ДОУ;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 возможности ознакомиться с правилами приема в ДОУ, утвержденными руководителем ДОУ, в частности, о документах, которые необходимо представить руководителю ДОУ для приема ребенка в ДОУ и о сроках приема руководителем ДОУ указанных документов.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подготовлен ЗАО "Кодекс" и сверен по: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официальный сайт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Министерства образования Оренбургской обл.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www.minobr.orb.ru (сканер-копия)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состоянию на 01.11.2013</w:t>
      </w:r>
      <w:r w:rsidRPr="009C2923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14:paraId="51FD77AA" w14:textId="77777777" w:rsidR="00AC13E2" w:rsidRDefault="00AC13E2"/>
    <w:sectPr w:rsidR="00AC1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3"/>
    <w:rsid w:val="009C2923"/>
    <w:rsid w:val="00A85456"/>
    <w:rsid w:val="00AC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3082"/>
  <w15:docId w15:val="{C4D5E577-DE74-476A-90B1-5B76E873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9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29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C2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29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29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29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C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C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C29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7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4453" TargetMode="External"/><Relationship Id="rId13" Type="http://schemas.openxmlformats.org/officeDocument/2006/relationships/hyperlink" Target="http://docs.cntd.ru/document/902260215" TargetMode="External"/><Relationship Id="rId18" Type="http://schemas.openxmlformats.org/officeDocument/2006/relationships/hyperlink" Target="http://docs.cntd.ru/document/90226021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89652" TargetMode="External"/><Relationship Id="rId7" Type="http://schemas.openxmlformats.org/officeDocument/2006/relationships/hyperlink" Target="http://docs.cntd.ru/document/9004584" TargetMode="External"/><Relationship Id="rId12" Type="http://schemas.openxmlformats.org/officeDocument/2006/relationships/hyperlink" Target="http://docs.cntd.ru/document/901709264" TargetMode="External"/><Relationship Id="rId17" Type="http://schemas.openxmlformats.org/officeDocument/2006/relationships/hyperlink" Target="http://docs.cntd.ru/document/902260215" TargetMode="External"/><Relationship Id="rId25" Type="http://schemas.openxmlformats.org/officeDocument/2006/relationships/hyperlink" Target="http://docs.cntd.ru/document/9023234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260215" TargetMode="External"/><Relationship Id="rId20" Type="http://schemas.openxmlformats.org/officeDocument/2006/relationships/hyperlink" Target="http://docs.cntd.ru/document/902389652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3378" TargetMode="External"/><Relationship Id="rId11" Type="http://schemas.openxmlformats.org/officeDocument/2006/relationships/hyperlink" Target="http://docs.cntd.ru/document/9003154" TargetMode="External"/><Relationship Id="rId24" Type="http://schemas.openxmlformats.org/officeDocument/2006/relationships/hyperlink" Target="http://docs.cntd.ru/document/902323482" TargetMode="External"/><Relationship Id="rId5" Type="http://schemas.openxmlformats.org/officeDocument/2006/relationships/hyperlink" Target="http://docs.cntd.ru/document/9034360" TargetMode="External"/><Relationship Id="rId15" Type="http://schemas.openxmlformats.org/officeDocument/2006/relationships/hyperlink" Target="http://docs.cntd.ru/document/902260215" TargetMode="External"/><Relationship Id="rId23" Type="http://schemas.openxmlformats.org/officeDocument/2006/relationships/hyperlink" Target="http://docs.cntd.ru/document/902389652" TargetMode="External"/><Relationship Id="rId10" Type="http://schemas.openxmlformats.org/officeDocument/2006/relationships/hyperlink" Target="http://docs.cntd.ru/document/9003021" TargetMode="External"/><Relationship Id="rId19" Type="http://schemas.openxmlformats.org/officeDocument/2006/relationships/hyperlink" Target="http://docs.cntd.ru/document/902389652" TargetMode="External"/><Relationship Id="rId4" Type="http://schemas.openxmlformats.org/officeDocument/2006/relationships/hyperlink" Target="http://docs.cntd.ru/document/902345105" TargetMode="External"/><Relationship Id="rId9" Type="http://schemas.openxmlformats.org/officeDocument/2006/relationships/hyperlink" Target="http://docs.cntd.ru/document/902253789" TargetMode="External"/><Relationship Id="rId14" Type="http://schemas.openxmlformats.org/officeDocument/2006/relationships/hyperlink" Target="http://docs.cntd.ru/document/902260215" TargetMode="External"/><Relationship Id="rId22" Type="http://schemas.openxmlformats.org/officeDocument/2006/relationships/hyperlink" Target="http://docs.cntd.ru/document/90238965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3640</Words>
  <Characters>20751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2023-03-16T11:54:00Z</dcterms:created>
  <dcterms:modified xsi:type="dcterms:W3CDTF">2023-03-16T11:54:00Z</dcterms:modified>
</cp:coreProperties>
</file>