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r>
      <w:r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Публикация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Решение спора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 страховой организацией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без суда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ind w:firstLine="0"/>
        <w:jc w:val="center"/>
        <w:spacing w:before="120" w:after="120" w:line="240" w:lineRule="auto"/>
        <w:rPr>
          <w:rFonts w:ascii="Times New Roman" w:hAnsi="Times New Roman" w:eastAsia="Calibri" w:cs="Times New Roman"/>
          <w:b/>
          <w:iCs/>
          <w:sz w:val="28"/>
          <w:szCs w:val="28"/>
        </w:rPr>
      </w:pPr>
      <w:r>
        <w:rPr>
          <w:rFonts w:ascii="Times New Roman" w:hAnsi="Times New Roman" w:eastAsia="Calibri" w:cs="Times New Roman"/>
          <w:b/>
          <w:iCs/>
          <w:sz w:val="28"/>
          <w:szCs w:val="28"/>
        </w:rPr>
        <w:t xml:space="preserve">  Рассказываем, кто вам </w:t>
      </w:r>
      <w:r>
        <w:rPr>
          <w:rFonts w:ascii="Times New Roman" w:hAnsi="Times New Roman" w:eastAsia="Calibri" w:cs="Times New Roman"/>
          <w:b/>
          <w:iCs/>
          <w:sz w:val="28"/>
          <w:szCs w:val="28"/>
        </w:rPr>
        <w:t xml:space="preserve">поможет </w:t>
      </w:r>
      <w:r>
        <w:rPr>
          <w:rFonts w:ascii="Times New Roman" w:hAnsi="Times New Roman" w:eastAsia="Calibri" w:cs="Times New Roman"/>
          <w:b/>
          <w:iCs/>
          <w:sz w:val="28"/>
          <w:szCs w:val="28"/>
          <w:u w:val="single"/>
        </w:rPr>
        <w:t xml:space="preserve">бесплатно</w:t>
      </w:r>
      <w:r>
        <w:rPr>
          <w:rFonts w:ascii="Times New Roman" w:hAnsi="Times New Roman" w:eastAsia="Calibri" w:cs="Times New Roman"/>
          <w:b/>
          <w:iCs/>
          <w:sz w:val="28"/>
          <w:szCs w:val="28"/>
        </w:rPr>
        <w:t xml:space="preserve"> решить </w:t>
      </w:r>
      <w:r>
        <w:rPr>
          <w:rFonts w:ascii="Times New Roman" w:hAnsi="Times New Roman" w:eastAsia="Calibri" w:cs="Times New Roman"/>
          <w:b/>
          <w:iCs/>
          <w:sz w:val="28"/>
          <w:szCs w:val="28"/>
        </w:rPr>
        <w:t xml:space="preserve">имущественный (</w:t>
      </w:r>
      <w:r>
        <w:rPr>
          <w:rFonts w:ascii="Times New Roman" w:hAnsi="Times New Roman" w:eastAsia="Calibri" w:cs="Times New Roman"/>
          <w:b/>
          <w:iCs/>
          <w:sz w:val="28"/>
          <w:szCs w:val="28"/>
        </w:rPr>
        <w:t xml:space="preserve">денежный</w:t>
      </w:r>
      <w:r>
        <w:rPr>
          <w:rFonts w:ascii="Times New Roman" w:hAnsi="Times New Roman" w:eastAsia="Calibri" w:cs="Times New Roman"/>
          <w:b/>
          <w:iCs/>
          <w:sz w:val="28"/>
          <w:szCs w:val="28"/>
        </w:rPr>
        <w:t xml:space="preserve">)</w:t>
      </w:r>
      <w:r>
        <w:rPr>
          <w:rFonts w:ascii="Times New Roman" w:hAnsi="Times New Roman" w:eastAsia="Calibri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iCs/>
          <w:sz w:val="28"/>
          <w:szCs w:val="28"/>
        </w:rPr>
        <w:t xml:space="preserve">спор со страховой </w:t>
      </w:r>
      <w:r>
        <w:rPr>
          <w:rFonts w:ascii="Times New Roman" w:hAnsi="Times New Roman" w:eastAsia="Calibri" w:cs="Times New Roman"/>
          <w:b/>
          <w:iCs/>
          <w:sz w:val="28"/>
          <w:szCs w:val="28"/>
        </w:rPr>
        <w:t xml:space="preserve">организацией без суда.</w:t>
      </w:r>
      <w:r>
        <w:rPr>
          <w:rFonts w:ascii="Times New Roman" w:hAnsi="Times New Roman" w:eastAsia="Calibri" w:cs="Times New Roman"/>
          <w:b/>
          <w:iCs/>
          <w:sz w:val="28"/>
          <w:szCs w:val="28"/>
        </w:rPr>
      </w:r>
    </w:p>
    <w:p>
      <w:pPr>
        <w:ind w:firstLine="709"/>
        <w:jc w:val="both"/>
        <w:spacing w:before="120" w:after="120" w:line="240" w:lineRule="auto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Вы не согласны с размером или с отказом в выплате страхового возмещения?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С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читаете, что страховщик нарушил срок выплаты страхового возмещения?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Или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вы не согласны с качеством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выполненного ремонта поврежденного имущества (например, автомобиля, по договорам ОСАГО, ДСАГО и каско)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?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Cs/>
          <w:sz w:val="28"/>
          <w:szCs w:val="28"/>
        </w:rPr>
      </w:r>
    </w:p>
    <w:p>
      <w:pPr>
        <w:ind w:firstLine="709"/>
        <w:jc w:val="both"/>
        <w:spacing w:before="120" w:after="120" w:line="240" w:lineRule="auto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Для решения спора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со страховщиком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без суда обратитесь к финансовому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уполномоченному. О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н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бесплатно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рассматривает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в досудебном порядке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споры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между финансовыми организациями и их клиентами – физическими лицами.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Обратиться можно с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требовани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ями,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связанными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с взысканием со страховой организации денежных средств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и/или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с организацией и оплатой страховой организацией восстановительного ремонта поврежденного имущества.</w:t>
      </w:r>
      <w:r>
        <w:rPr>
          <w:rFonts w:ascii="Times New Roman" w:hAnsi="Times New Roman" w:eastAsia="Calibri" w:cs="Times New Roman"/>
          <w:iCs/>
          <w:sz w:val="28"/>
          <w:szCs w:val="28"/>
        </w:rPr>
      </w:r>
    </w:p>
    <w:p>
      <w:pPr>
        <w:ind w:firstLine="709"/>
        <w:jc w:val="both"/>
        <w:spacing w:before="120" w:after="120" w:line="240" w:lineRule="auto"/>
        <w:rPr>
          <w:rFonts w:ascii="Times New Roman" w:hAnsi="Times New Roman" w:eastAsia="Calibri" w:cs="Times New Roman"/>
          <w:i/>
          <w:iCs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</w:rPr>
        <w:t xml:space="preserve">Ознакомиться с подробной информацией </w:t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  <w:t xml:space="preserve">о разрешении споров со страховыми организациями </w:t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  <w:t xml:space="preserve">можно на сайте finombudsman.ru в разделе «База знаний» </w:t>
      </w:r>
      <w:hyperlink r:id="rId11" w:tooltip="https://newstg.sfurf.office/kb/spory-podlezhashchie-rassmotreniyu-finansovym-upolnomochennym/spor-so-strahovoj-organizatsiej-primery-trebovanij253-kb.html" w:history="1">
        <w:r>
          <w:rPr>
            <w:rStyle w:val="698"/>
            <w:rFonts w:ascii="Times New Roman" w:hAnsi="Times New Roman" w:eastAsia="Calibri" w:cs="Times New Roman"/>
            <w:i/>
            <w:iCs/>
            <w:sz w:val="28"/>
            <w:szCs w:val="28"/>
          </w:rPr>
          <w:t xml:space="preserve">по ссылке</w:t>
        </w:r>
      </w:hyperlink>
      <w:r>
        <w:rPr>
          <w:rFonts w:ascii="Times New Roman" w:hAnsi="Times New Roman" w:eastAsia="Calibri" w:cs="Times New Roman"/>
          <w:i/>
          <w:iCs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</w:r>
    </w:p>
    <w:p>
      <w:pPr>
        <w:ind w:firstLine="709"/>
        <w:jc w:val="both"/>
        <w:spacing w:before="120" w:after="120" w:line="240" w:lineRule="auto"/>
        <w:rPr>
          <w:rFonts w:ascii="Times New Roman" w:hAnsi="Times New Roman" w:eastAsia="Calibri" w:cs="Times New Roman"/>
          <w:i/>
          <w:iCs/>
          <w:sz w:val="28"/>
          <w:szCs w:val="28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</w:rPr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</w:r>
    </w:p>
    <w:p>
      <w:pPr>
        <w:ind w:firstLine="709"/>
        <w:jc w:val="both"/>
        <w:spacing w:before="120" w:after="120" w:line="240" w:lineRule="auto"/>
        <w:rPr>
          <w:rFonts w:ascii="Times New Roman" w:hAnsi="Times New Roman" w:cs="Times New Roman"/>
          <w:sz w:val="28"/>
          <w:szCs w:val="28"/>
          <w:shd w:val="clear" w:color="auto" w:fill="faf2e6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af2e6"/>
        </w:rPr>
        <w:t xml:space="preserve">Важно знать!</w:t>
      </w:r>
      <w:r>
        <w:rPr>
          <w:rFonts w:ascii="Times New Roman" w:hAnsi="Times New Roman" w:cs="Times New Roman"/>
          <w:sz w:val="28"/>
          <w:szCs w:val="28"/>
          <w:shd w:val="clear" w:color="auto" w:fill="faf2e6"/>
        </w:rPr>
        <w:t xml:space="preserve"> </w:t>
      </w:r>
      <w:r>
        <w:rPr>
          <w:rFonts w:ascii="Times New Roman" w:hAnsi="Times New Roman" w:cs="Times New Roman"/>
          <w:sz w:val="28"/>
          <w:szCs w:val="28"/>
          <w:shd w:val="clear" w:color="auto" w:fill="faf2e6"/>
        </w:rPr>
        <w:t xml:space="preserve">Если ваш спор со страховой организацией относится к компетенции финансового уполномоченного, то за защитой своих прав вы</w:t>
      </w:r>
      <w:r>
        <w:rPr>
          <w:rFonts w:ascii="Times New Roman" w:hAnsi="Times New Roman" w:cs="Times New Roman"/>
          <w:sz w:val="28"/>
          <w:szCs w:val="28"/>
          <w:shd w:val="clear" w:color="auto" w:fill="faf2e6"/>
        </w:rPr>
        <w:t xml:space="preserve"> должны обратиться к финансовому уполномоченному до обращения в суд. Данный порядок установлен Федеральным законом № 123-ФЗ от 04.06.2018 «Об уполномоченном по правам потребителей финансовых услуг» и является обязательным для потребителей финансовых услуг.</w:t>
      </w:r>
      <w:r>
        <w:rPr>
          <w:rFonts w:ascii="Times New Roman" w:hAnsi="Times New Roman" w:cs="Times New Roman"/>
          <w:sz w:val="28"/>
          <w:szCs w:val="28"/>
          <w:shd w:val="clear" w:color="auto" w:fill="faf2e6"/>
        </w:rPr>
      </w:r>
    </w:p>
    <w:p>
      <w:pPr>
        <w:ind w:firstLine="709"/>
        <w:jc w:val="both"/>
        <w:spacing w:before="120" w:after="120" w:line="240" w:lineRule="auto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Финансовая организация обязана исполнить </w:t>
      </w:r>
      <w:hyperlink r:id="rId12" w:tooltip="https://finombudsman.ru/kb/prinyato-reshenie-po-obrashcheniyu/reshenie-finansovogo-upolnomochennogo-po-itogam-rassmotreniya-obrashheniya250-kb.html" w:history="1">
        <w:r>
          <w:rPr>
            <w:rStyle w:val="698"/>
            <w:rFonts w:ascii="Times New Roman" w:hAnsi="Times New Roman" w:eastAsia="Calibri" w:cs="Times New Roman"/>
            <w:iCs/>
            <w:sz w:val="28"/>
            <w:szCs w:val="28"/>
          </w:rPr>
          <w:t xml:space="preserve">решение финансового уполномоченного</w:t>
        </w:r>
      </w:hyperlink>
      <w:r>
        <w:rPr>
          <w:rFonts w:ascii="Times New Roman" w:hAnsi="Times New Roman" w:eastAsia="Calibri" w:cs="Times New Roman"/>
          <w:iCs/>
          <w:sz w:val="28"/>
          <w:szCs w:val="28"/>
        </w:rPr>
        <w:t xml:space="preserve"> в срок, указанный в нем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iCs/>
          <w:sz w:val="28"/>
          <w:szCs w:val="28"/>
        </w:rPr>
      </w:r>
    </w:p>
    <w:p>
      <w:pPr>
        <w:ind w:firstLine="709"/>
        <w:jc w:val="both"/>
        <w:spacing w:before="120" w:after="120" w:line="240" w:lineRule="auto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При помощи финансового уполномоченного в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ы можете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решить имущественный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(денежный)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спор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со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стра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ховой компанией, банком, микрофинансовой организацией, негосударственным пенсионным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фондом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ломбардном и кредитным потребительским кооперативом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iCs/>
          <w:sz w:val="28"/>
          <w:szCs w:val="28"/>
        </w:rPr>
      </w:r>
    </w:p>
    <w:p>
      <w:pPr>
        <w:pStyle w:val="711"/>
        <w:ind w:firstLine="709"/>
        <w:jc w:val="both"/>
        <w:spacing w:before="90" w:beforeAutospacing="0" w:after="300" w:afterAutospacing="0" w:line="276" w:lineRule="auto"/>
        <w:shd w:val="clear" w:color="auto" w:fill="ffffff"/>
        <w:rPr>
          <w:color w:val="000000"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Направить обращение финансовому уполномоченному можно </w:t>
      </w:r>
      <w:r>
        <w:rPr>
          <w:color w:val="000000" w:themeColor="text1"/>
          <w:sz w:val="28"/>
          <w:szCs w:val="28"/>
        </w:rPr>
        <w:t xml:space="preserve">через личный кабинет на сайте</w:t>
      </w:r>
      <w:r>
        <w:rPr>
          <w:b/>
          <w:color w:val="000000" w:themeColor="text1"/>
          <w:sz w:val="28"/>
          <w:szCs w:val="28"/>
        </w:rPr>
        <w:t xml:space="preserve"> </w:t>
      </w:r>
      <w:hyperlink r:id="rId13" w:tooltip="https://finombudsman.ru/" w:history="1">
        <w:r>
          <w:rPr>
            <w:rStyle w:val="698"/>
            <w:b/>
            <w:sz w:val="28"/>
            <w:szCs w:val="28"/>
            <w:lang w:val="en-US"/>
          </w:rPr>
          <w:t xml:space="preserve">finombudsman</w:t>
        </w:r>
        <w:r>
          <w:rPr>
            <w:rStyle w:val="698"/>
            <w:b/>
            <w:sz w:val="28"/>
            <w:szCs w:val="28"/>
          </w:rPr>
          <w:t xml:space="preserve">.</w:t>
        </w:r>
        <w:r>
          <w:rPr>
            <w:rStyle w:val="698"/>
            <w:b/>
            <w:sz w:val="28"/>
            <w:szCs w:val="28"/>
            <w:lang w:val="en-US"/>
          </w:rPr>
          <w:t xml:space="preserve">ru</w:t>
        </w:r>
      </w:hyperlink>
      <w:r>
        <w:rPr>
          <w:color w:val="000000" w:themeColor="text1"/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на портале Госуслуг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120" w:after="120" w:line="240" w:lineRule="auto"/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b/>
          <w:iCs/>
          <w:sz w:val="28"/>
          <w:szCs w:val="28"/>
        </w:rPr>
        <w:t xml:space="preserve">Подробности о решении </w:t>
      </w:r>
      <w:r>
        <w:rPr>
          <w:rFonts w:ascii="Times New Roman" w:hAnsi="Times New Roman" w:eastAsia="Calibri" w:cs="Times New Roman"/>
          <w:b/>
          <w:iCs/>
          <w:sz w:val="28"/>
          <w:szCs w:val="28"/>
        </w:rPr>
        <w:t xml:space="preserve">имущественного </w:t>
      </w:r>
      <w:r>
        <w:rPr>
          <w:rFonts w:ascii="Times New Roman" w:hAnsi="Times New Roman" w:eastAsia="Calibri" w:cs="Times New Roman"/>
          <w:b/>
          <w:iCs/>
          <w:sz w:val="28"/>
          <w:szCs w:val="28"/>
        </w:rPr>
        <w:t xml:space="preserve">спора без суда </w:t>
      </w:r>
      <w:r>
        <w:rPr>
          <w:rFonts w:ascii="Times New Roman" w:hAnsi="Times New Roman" w:eastAsia="Calibri" w:cs="Times New Roman"/>
          <w:b/>
          <w:iCs/>
          <w:sz w:val="28"/>
          <w:szCs w:val="28"/>
        </w:rPr>
        <w:t xml:space="preserve">со страховщиком </w:t>
      </w:r>
      <w:r>
        <w:rPr>
          <w:rFonts w:ascii="Times New Roman" w:hAnsi="Times New Roman" w:eastAsia="Calibri" w:cs="Times New Roman"/>
          <w:b/>
          <w:iCs/>
          <w:sz w:val="28"/>
          <w:szCs w:val="28"/>
        </w:rPr>
        <w:t xml:space="preserve">читайте в карточках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152400"/>
                <wp:effectExtent l="0" t="0" r="0" b="0"/>
                <wp:docPr id="1" name="Рисунок 1" descr="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👇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.00pt;height:12.0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iCs/>
          <w:sz w:val="28"/>
          <w:szCs w:val="28"/>
        </w:rPr>
      </w:r>
    </w:p>
    <w:p>
      <w:pPr>
        <w:rPr>
          <w:rFonts w:ascii="Times New Roman" w:hAnsi="Times New Roman" w:eastAsia="Calibri" w:cs="Times New Roman"/>
          <w:iCs/>
          <w:sz w:val="28"/>
          <w:szCs w:val="28"/>
        </w:rPr>
      </w:pPr>
      <w:r>
        <w:rPr>
          <w:rFonts w:ascii="Times New Roman" w:hAnsi="Times New Roman" w:eastAsia="Calibri" w:cs="Times New Roman"/>
          <w:iCs/>
          <w:sz w:val="28"/>
          <w:szCs w:val="28"/>
        </w:rPr>
      </w:r>
      <w:r/>
      <w:bookmarkStart w:id="0" w:name="_GoBack"/>
      <w:r/>
      <w:bookmarkEnd w:id="0"/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Calibri" w:cs="Times New Roman"/>
          <w:iCs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7812639"/>
      <w:docPartObj>
        <w:docPartGallery w:val="Page Numbers (Bottom of Page)"/>
        <w:docPartUnique w:val="true"/>
      </w:docPartObj>
      <w:rPr/>
    </w:sdtPr>
    <w:sdtContent>
      <w:sdt>
        <w:sdtPr>
          <w15:appearance w15:val="boundingBox"/>
          <w:id w:val="1728636285"/>
          <w:docPartObj>
            <w:docPartGallery w:val="Page Numbers (Top of Page)"/>
            <w:docPartUnique w:val="true"/>
          </w:docPartObj>
          <w:rPr/>
        </w:sdtPr>
        <w:sdtContent>
          <w:p>
            <w:pPr>
              <w:pStyle w:val="714"/>
              <w:jc w:val="center"/>
            </w:pPr>
            <w:r>
              <w:t xml:space="preserve">Страница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PAGE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 xml:space="preserve"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NUMPAGES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 xml:space="preserve">2</w:t>
            </w:r>
            <w:r>
              <w:rPr>
                <w:bCs/>
                <w:sz w:val="24"/>
                <w:szCs w:val="24"/>
              </w:rPr>
              <w:fldChar w:fldCharType="end"/>
            </w:r>
            <w:r/>
          </w:p>
        </w:sdtContent>
      </w:sdt>
    </w:sdtContent>
  </w:sdt>
  <w:p>
    <w:pPr>
      <w:pStyle w:val="7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4"/>
    <w:next w:val="69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4"/>
    <w:next w:val="69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4"/>
    <w:next w:val="69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4"/>
    <w:next w:val="69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4"/>
    <w:next w:val="69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4"/>
    <w:next w:val="69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4"/>
    <w:next w:val="69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4"/>
    <w:next w:val="69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4"/>
    <w:next w:val="69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4"/>
    <w:next w:val="69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5"/>
    <w:link w:val="34"/>
    <w:uiPriority w:val="10"/>
    <w:rPr>
      <w:sz w:val="48"/>
      <w:szCs w:val="48"/>
    </w:rPr>
  </w:style>
  <w:style w:type="paragraph" w:styleId="36">
    <w:name w:val="Subtitle"/>
    <w:basedOn w:val="694"/>
    <w:next w:val="69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5"/>
    <w:link w:val="36"/>
    <w:uiPriority w:val="11"/>
    <w:rPr>
      <w:sz w:val="24"/>
      <w:szCs w:val="24"/>
    </w:rPr>
  </w:style>
  <w:style w:type="paragraph" w:styleId="38">
    <w:name w:val="Quote"/>
    <w:basedOn w:val="694"/>
    <w:next w:val="69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4"/>
    <w:next w:val="69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5"/>
    <w:link w:val="712"/>
    <w:uiPriority w:val="99"/>
  </w:style>
  <w:style w:type="character" w:styleId="45">
    <w:name w:val="Footer Char"/>
    <w:basedOn w:val="695"/>
    <w:link w:val="714"/>
    <w:uiPriority w:val="99"/>
  </w:style>
  <w:style w:type="paragraph" w:styleId="46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14"/>
    <w:uiPriority w:val="99"/>
  </w:style>
  <w:style w:type="table" w:styleId="48">
    <w:name w:val="Table Grid"/>
    <w:basedOn w:val="6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00"/>
    <w:uiPriority w:val="99"/>
    <w:rPr>
      <w:sz w:val="18"/>
    </w:rPr>
  </w:style>
  <w:style w:type="paragraph" w:styleId="178">
    <w:name w:val="endnote text"/>
    <w:basedOn w:val="69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5"/>
    <w:uiPriority w:val="99"/>
    <w:semiHidden/>
    <w:unhideWhenUsed/>
    <w:rPr>
      <w:vertAlign w:val="superscript"/>
    </w:rPr>
  </w:style>
  <w:style w:type="paragraph" w:styleId="181">
    <w:name w:val="toc 1"/>
    <w:basedOn w:val="694"/>
    <w:next w:val="69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4"/>
    <w:next w:val="69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4"/>
    <w:next w:val="69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4"/>
    <w:next w:val="69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4"/>
    <w:next w:val="69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4"/>
    <w:next w:val="69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4"/>
    <w:next w:val="69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4"/>
    <w:next w:val="69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4"/>
    <w:next w:val="69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4"/>
    <w:next w:val="694"/>
    <w:uiPriority w:val="99"/>
    <w:unhideWhenUsed/>
    <w:pPr>
      <w:spacing w:after="0" w:afterAutospacing="0"/>
    </w:pPr>
  </w:style>
  <w:style w:type="paragraph" w:styleId="694" w:default="1">
    <w:name w:val="Normal"/>
    <w:qFormat/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>
    <w:name w:val="Hyperlink"/>
    <w:basedOn w:val="695"/>
    <w:uiPriority w:val="99"/>
    <w:unhideWhenUsed/>
    <w:rPr>
      <w:color w:val="0563c1" w:themeColor="hyperlink"/>
      <w:u w:val="single"/>
    </w:rPr>
  </w:style>
  <w:style w:type="paragraph" w:styleId="699">
    <w:name w:val="List Paragraph"/>
    <w:basedOn w:val="694"/>
    <w:uiPriority w:val="34"/>
    <w:qFormat/>
    <w:pPr>
      <w:ind w:left="720"/>
      <w:spacing w:after="0" w:line="240" w:lineRule="auto"/>
    </w:pPr>
    <w:rPr>
      <w:rFonts w:ascii="Calibri" w:hAnsi="Calibri" w:cs="Calibri"/>
    </w:rPr>
  </w:style>
  <w:style w:type="paragraph" w:styleId="700">
    <w:name w:val="footnote text"/>
    <w:basedOn w:val="694"/>
    <w:link w:val="70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01" w:customStyle="1">
    <w:name w:val="Текст сноски Знак"/>
    <w:basedOn w:val="695"/>
    <w:link w:val="700"/>
    <w:uiPriority w:val="99"/>
    <w:semiHidden/>
    <w:rPr>
      <w:sz w:val="20"/>
      <w:szCs w:val="20"/>
    </w:rPr>
  </w:style>
  <w:style w:type="character" w:styleId="702">
    <w:name w:val="footnote reference"/>
    <w:basedOn w:val="695"/>
    <w:uiPriority w:val="99"/>
    <w:semiHidden/>
    <w:unhideWhenUsed/>
    <w:rPr>
      <w:vertAlign w:val="superscript"/>
    </w:rPr>
  </w:style>
  <w:style w:type="character" w:styleId="703">
    <w:name w:val="FollowedHyperlink"/>
    <w:basedOn w:val="695"/>
    <w:uiPriority w:val="99"/>
    <w:semiHidden/>
    <w:unhideWhenUsed/>
    <w:rPr>
      <w:color w:val="954f72" w:themeColor="followedHyperlink"/>
      <w:u w:val="single"/>
    </w:rPr>
  </w:style>
  <w:style w:type="character" w:styleId="704">
    <w:name w:val="annotation reference"/>
    <w:basedOn w:val="695"/>
    <w:uiPriority w:val="99"/>
    <w:semiHidden/>
    <w:unhideWhenUsed/>
    <w:rPr>
      <w:sz w:val="16"/>
      <w:szCs w:val="16"/>
    </w:rPr>
  </w:style>
  <w:style w:type="paragraph" w:styleId="705">
    <w:name w:val="annotation text"/>
    <w:basedOn w:val="694"/>
    <w:link w:val="70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06" w:customStyle="1">
    <w:name w:val="Текст примечания Знак"/>
    <w:basedOn w:val="695"/>
    <w:link w:val="705"/>
    <w:uiPriority w:val="99"/>
    <w:semiHidden/>
    <w:rPr>
      <w:sz w:val="20"/>
      <w:szCs w:val="20"/>
    </w:rPr>
  </w:style>
  <w:style w:type="paragraph" w:styleId="707">
    <w:name w:val="annotation subject"/>
    <w:basedOn w:val="705"/>
    <w:next w:val="705"/>
    <w:link w:val="708"/>
    <w:uiPriority w:val="99"/>
    <w:semiHidden/>
    <w:unhideWhenUsed/>
    <w:rPr>
      <w:b/>
      <w:bCs/>
    </w:rPr>
  </w:style>
  <w:style w:type="character" w:styleId="708" w:customStyle="1">
    <w:name w:val="Тема примечания Знак"/>
    <w:basedOn w:val="706"/>
    <w:link w:val="707"/>
    <w:uiPriority w:val="99"/>
    <w:semiHidden/>
    <w:rPr>
      <w:b/>
      <w:bCs/>
      <w:sz w:val="20"/>
      <w:szCs w:val="20"/>
    </w:rPr>
  </w:style>
  <w:style w:type="paragraph" w:styleId="709">
    <w:name w:val="Balloon Text"/>
    <w:basedOn w:val="694"/>
    <w:link w:val="71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10" w:customStyle="1">
    <w:name w:val="Текст выноски Знак"/>
    <w:basedOn w:val="695"/>
    <w:link w:val="709"/>
    <w:uiPriority w:val="99"/>
    <w:semiHidden/>
    <w:rPr>
      <w:rFonts w:ascii="Segoe UI" w:hAnsi="Segoe UI" w:cs="Segoe UI"/>
      <w:sz w:val="18"/>
      <w:szCs w:val="18"/>
    </w:rPr>
  </w:style>
  <w:style w:type="paragraph" w:styleId="711" w:customStyle="1">
    <w:name w:val="article-render__block"/>
    <w:basedOn w:val="6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2">
    <w:name w:val="Header"/>
    <w:basedOn w:val="694"/>
    <w:link w:val="71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3" w:customStyle="1">
    <w:name w:val="Верхний колонтитул Знак"/>
    <w:basedOn w:val="695"/>
    <w:link w:val="712"/>
    <w:uiPriority w:val="99"/>
  </w:style>
  <w:style w:type="paragraph" w:styleId="714">
    <w:name w:val="Footer"/>
    <w:basedOn w:val="694"/>
    <w:link w:val="7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5" w:customStyle="1">
    <w:name w:val="Нижний колонтитул Знак"/>
    <w:basedOn w:val="695"/>
    <w:link w:val="71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newstg.sfurf.office/kb/spory-podlezhashchie-rassmotreniyu-finansovym-upolnomochennym/spor-so-strahovoj-organizatsiej-primery-trebovanij253-kb.html" TargetMode="External"/><Relationship Id="rId12" Type="http://schemas.openxmlformats.org/officeDocument/2006/relationships/hyperlink" Target="https://finombudsman.ru/kb/prinyato-reshenie-po-obrashcheniyu/reshenie-finansovogo-upolnomochennogo-po-itogam-rassmotreniya-obrashheniya250-kb.html" TargetMode="External"/><Relationship Id="rId13" Type="http://schemas.openxmlformats.org/officeDocument/2006/relationships/hyperlink" Target="https://finombudsman.ru/" TargetMode="External"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60531-4E0E-47E8-8420-F227008B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MyCompany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Светлана Александровна</dc:creator>
  <cp:keywords/>
  <dc:description/>
  <cp:lastModifiedBy>Анна Багирова</cp:lastModifiedBy>
  <cp:revision>8</cp:revision>
  <dcterms:created xsi:type="dcterms:W3CDTF">2024-11-25T08:36:00Z</dcterms:created>
  <dcterms:modified xsi:type="dcterms:W3CDTF">2024-12-06T14:06:30Z</dcterms:modified>
</cp:coreProperties>
</file>