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60522594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7695402)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«Химия. Базовый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_GoBack"/>
      <w:r/>
      <w:bookmarkEnd w:id="1"/>
      <w:r/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2" w:name="58df893d-8e48-4a6c-b707-e30db5572816"/>
      <w:r>
        <w:rPr>
          <w:rFonts w:ascii="Times New Roman" w:hAnsi="Times New Roman"/>
          <w:b/>
          <w:color w:val="000000"/>
          <w:sz w:val="28"/>
          <w:lang w:val="ru-RU"/>
        </w:rPr>
        <w:t xml:space="preserve">г. Алапаевск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0353ffa-3b9d-4f1b-95cd-292ab35e49b4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spacing w:after="0"/>
        <w:rPr>
          <w:lang w:val="ru-RU"/>
        </w:rPr>
      </w:pPr>
      <w:r/>
      <w:bookmarkStart w:id="4" w:name="_Toc118729915"/>
      <w:r/>
      <w:bookmarkStart w:id="5" w:name="block-60522595"/>
      <w:r/>
      <w:bookmarkEnd w:id="0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Федерального закона от 29.12.2012 № 273-ФЗ «Об образовании в Российской Фед</w:t>
      </w:r>
      <w:r>
        <w:rPr>
          <w:rFonts w:ascii="Times New Roman" w:hAnsi="Times New Roman"/>
          <w:color w:val="000000"/>
          <w:sz w:val="28"/>
          <w:lang w:val="ru-RU"/>
        </w:rPr>
        <w:t xml:space="preserve">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</w:t>
      </w:r>
      <w:r>
        <w:rPr>
          <w:rFonts w:ascii="Times New Roman" w:hAnsi="Times New Roman"/>
          <w:color w:val="000000"/>
          <w:sz w:val="28"/>
          <w:lang w:val="ru-RU"/>
        </w:rPr>
        <w:t xml:space="preserve">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воспи</w:t>
      </w:r>
      <w:r>
        <w:rPr>
          <w:rFonts w:ascii="Times New Roman" w:hAnsi="Times New Roman"/>
          <w:color w:val="000000"/>
          <w:sz w:val="28"/>
          <w:lang w:val="ru-RU"/>
        </w:rPr>
        <w:t xml:space="preserve">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Химическое образование, получаемое выпускниками общеобразовательной организации, является неотъемлемой частью их образов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анности. Оно служит завершающим этапом реализации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</w:t>
      </w:r>
      <w:r>
        <w:rPr>
          <w:rFonts w:ascii="Times New Roman" w:hAnsi="Times New Roman"/>
          <w:color w:val="000000"/>
          <w:sz w:val="28"/>
          <w:lang w:val="ru-RU"/>
        </w:rPr>
        <w:t xml:space="preserve">века,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Химия как элемент системы естественных наук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Тесно взаимодействуя с другими естественными науками, химия стала неотъемлемой частью мировой культуры, необходимым условием успешного труда и жиз</w:t>
      </w:r>
      <w:r>
        <w:rPr>
          <w:rFonts w:ascii="Times New Roman" w:hAnsi="Times New Roman"/>
          <w:color w:val="000000"/>
          <w:sz w:val="28"/>
          <w:lang w:val="ru-RU"/>
        </w:rPr>
        <w:t xml:space="preserve">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общими целями и принципами среднего общего образования содержание предмета «Химия» (10–11 классы, базовый уровень изучен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являются 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ий по неорганической химии (с 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курсов – «Органическая химия» и «Общая и неорганическая хим</w:t>
      </w:r>
      <w:r>
        <w:rPr>
          <w:rFonts w:ascii="Times New Roman" w:hAnsi="Times New Roman"/>
          <w:color w:val="000000"/>
          <w:sz w:val="28"/>
          <w:lang w:val="ru-RU"/>
        </w:rPr>
        <w:t xml:space="preserve">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</w:t>
      </w:r>
      <w:r>
        <w:rPr>
          <w:rFonts w:ascii="Times New Roman" w:hAnsi="Times New Roman"/>
          <w:color w:val="000000"/>
          <w:sz w:val="28"/>
          <w:lang w:val="ru-RU"/>
        </w:rPr>
        <w:t xml:space="preserve">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</w:t>
      </w:r>
      <w:r>
        <w:rPr>
          <w:rFonts w:ascii="Times New Roman" w:hAnsi="Times New Roman"/>
          <w:color w:val="000000"/>
          <w:sz w:val="28"/>
          <w:lang w:val="ru-RU"/>
        </w:rPr>
        <w:t xml:space="preserve">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 новым углом зрения в предмете «Химия» базового уровня рассматривается изученный на уровне основного общего образования теоретический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материал и фактологические сведения о веществах и химической реакции. Так, в частности, в курсе «Общая и неорганическая химия» обучающимся предоставляется возможность осознать значение периодического закона с общетеоретических и методологических позиций, </w:t>
      </w:r>
      <w:r>
        <w:rPr>
          <w:rFonts w:ascii="Times New Roman" w:hAnsi="Times New Roman"/>
          <w:color w:val="000000"/>
          <w:sz w:val="28"/>
          <w:lang w:val="ru-RU"/>
        </w:rPr>
        <w:t xml:space="preserve">глубже понять историческое изменение функций этого закона – от обобщающей до объясняющей и прогнозирующей.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Единая система знаний о важнейших веществах, их составе, строении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способствуют пониманию взаимосвязи х</w:t>
      </w:r>
      <w:r>
        <w:rPr>
          <w:rFonts w:ascii="Times New Roman" w:hAnsi="Times New Roman"/>
          <w:color w:val="000000"/>
          <w:sz w:val="28"/>
          <w:lang w:val="ru-RU"/>
        </w:rPr>
        <w:t xml:space="preserve">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ориентироваться в общественно и л</w:t>
      </w:r>
      <w:r>
        <w:rPr>
          <w:rFonts w:ascii="Times New Roman" w:hAnsi="Times New Roman"/>
          <w:color w:val="000000"/>
          <w:sz w:val="28"/>
          <w:lang w:val="ru-RU"/>
        </w:rPr>
        <w:t xml:space="preserve">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 «Химия» данного уровня 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строением, познаваемость природных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новых технологий и материалов.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</w:t>
      </w:r>
      <w:r>
        <w:rPr>
          <w:rFonts w:ascii="Times New Roman" w:hAnsi="Times New Roman"/>
          <w:color w:val="000000"/>
          <w:sz w:val="28"/>
          <w:lang w:val="ru-RU"/>
        </w:rPr>
        <w:t xml:space="preserve">чебных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</w:t>
      </w:r>
      <w:r>
        <w:rPr>
          <w:rFonts w:ascii="Times New Roman" w:hAnsi="Times New Roman"/>
          <w:color w:val="000000"/>
          <w:sz w:val="28"/>
          <w:lang w:val="ru-RU"/>
        </w:rPr>
        <w:t xml:space="preserve">актике преподавания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Согласно данной точке зрения главными целями изучения предмета «Химия» на базовом уровне (10 –11 кл.) являются: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естественн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этим, содержательная характеристика целей и задач</w:t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связи с этим при изучении предмета «Химия» доминирующее значение приобретают такие цели и задачи, как: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адаптация обучающ</w:t>
      </w:r>
      <w:r>
        <w:rPr>
          <w:rFonts w:ascii="Times New Roman" w:hAnsi="Times New Roman"/>
          <w:color w:val="000000"/>
          <w:sz w:val="28"/>
          <w:lang w:val="ru-RU"/>
        </w:rPr>
        <w:t xml:space="preserve">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</w:t>
      </w:r>
      <w:r>
        <w:rPr>
          <w:rFonts w:ascii="Times New Roman" w:hAnsi="Times New Roman"/>
          <w:color w:val="000000"/>
          <w:sz w:val="28"/>
          <w:lang w:val="ru-RU"/>
        </w:rPr>
        <w:t xml:space="preserve">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интересов, интеллектуальных и творческих способно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учебном плане среднего общего образования предмет «Химия» базового уровня входит в состав предметной области «Естественно-научные предметы».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block-60522596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ОРГАНИЧЕСКАЯ ХИМИЯ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органической химии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получении новых веществ и материалов. Теория строения органических соединений А. М. Бутлерова, её основные 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</w:t>
      </w:r>
      <w:r>
        <w:rPr>
          <w:rFonts w:ascii="Times New Roman" w:hAnsi="Times New Roman"/>
          <w:color w:val="000000"/>
          <w:sz w:val="28"/>
          <w:lang w:val="ru-RU"/>
        </w:rPr>
        <w:t xml:space="preserve">ений: ознакомление с образцами органических веществ и материалами на их основе, моделирование молекул органических веществ, наблюдение и описание демонстрационных опытов по превращению органических веществ при нагревании (плавление, обугливание и горение).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Углеводороды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Толуол: состав, строение, физические и химические свойства (реакции галогенирования и нитрования), получение и применение.</w:t>
      </w:r>
      <w:r>
        <w:rPr>
          <w:rFonts w:ascii="Times New Roman" w:hAnsi="Times New Roman"/>
          <w:color w:val="000000"/>
          <w:sz w:val="28"/>
          <w:lang w:val="ru-RU"/>
        </w:rPr>
        <w:t xml:space="preserve"> Токсичность аренов. </w:t>
      </w:r>
      <w:r>
        <w:rPr>
          <w:rFonts w:ascii="Times New Roman" w:hAnsi="Times New Roman"/>
          <w:color w:val="000000"/>
          <w:sz w:val="28"/>
          <w:lang w:val="ru-RU"/>
        </w:rPr>
        <w:t xml:space="preserve">Генетическая связь между углеводородами, принадлежащими к различным классам.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Природные источники углеводородов. Природны</w:t>
      </w:r>
      <w:r>
        <w:rPr>
          <w:rFonts w:ascii="Times New Roman" w:hAnsi="Times New Roman"/>
          <w:color w:val="000000"/>
          <w:sz w:val="28"/>
          <w:lang w:val="ru-RU"/>
        </w:rPr>
        <w:t xml:space="preserve">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углеводородов и галогенопроизводных, проведение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практической работы</w:t>
      </w:r>
      <w:r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Расчётные задачи.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Кислородсодержащие органические соединения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кетоны</w:t>
      </w:r>
      <w:r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эфиры как производные карбоновых кислот. </w:t>
      </w:r>
      <w:r>
        <w:rPr>
          <w:rFonts w:ascii="Times New Roman" w:hAnsi="Times New Roman"/>
          <w:color w:val="000000"/>
          <w:sz w:val="28"/>
          <w:lang w:val="ru-RU"/>
        </w:rPr>
        <w:t xml:space="preserve">Гидролиз сложных эфиров. Жиры. Гидролиз жиров.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Применение жиров. Биологическая роль жиров.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Углеводы: состав, классификация углеводов (моно-, ди- и полисахариды). Глюкоза – простейший моносахарид: особенности строения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молекулы,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</w:t>
      </w:r>
      <w:r>
        <w:rPr>
          <w:rFonts w:ascii="Times New Roman" w:hAnsi="Times New Roman"/>
          <w:color w:val="000000"/>
          <w:sz w:val="28"/>
          <w:lang w:val="ru-RU"/>
        </w:rPr>
        <w:t xml:space="preserve">Фотосинтез. Фруктоза как изомер глюкозы.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проведение, наблюдение и описание демонстрационных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 xml:space="preserve">I</w:t>
      </w:r>
      <w:r>
        <w:rPr>
          <w:rFonts w:ascii="Times New Roman" w:hAnsi="Times New Roman"/>
          <w:color w:val="000000"/>
          <w:sz w:val="28"/>
          <w:lang w:val="ru-RU"/>
        </w:rPr>
        <w:t xml:space="preserve">) и гидроксидом меди(</w:t>
      </w:r>
      <w:r>
        <w:rPr>
          <w:rFonts w:ascii="Times New Roman" w:hAnsi="Times New Roman"/>
          <w:color w:val="000000"/>
          <w:sz w:val="28"/>
        </w:rPr>
        <w:t xml:space="preserve">II</w:t>
      </w:r>
      <w:r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иодом), проведение практической работы: свойства раствора уксусной кислоты.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Расчётные задачи.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Азотсодержащие органические соединения.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Высокомолекулярные соединения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Межпредметные связи.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органической химии в 10 классе осуществляется через использование как общих естественно-</w:t>
      </w:r>
      <w:r>
        <w:rPr>
          <w:rFonts w:ascii="Times New Roman" w:hAnsi="Times New Roman"/>
          <w:color w:val="000000"/>
          <w:sz w:val="28"/>
          <w:lang w:val="ru-RU"/>
        </w:rPr>
        <w:t xml:space="preserve">научных понятий, так и понятий, являющихся системными для отдельных предметов естественно-научного цикла.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Физика: материя, энергия, масса, атом, электрон, молекула, энергетический уровень, вещество, тело, объём, агрегатное состояние вещества, физические величины и единицы их измерения.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География: минералы, горные породы, полезные ископаемые, топливо, ресурсы.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И НЕОРГАНИЧЕСКАЯ ХИМИЯ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Теоретические основы химии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 xml:space="preserve">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орбиталям в атомах элементов первых четырёх периодов. Электронная конфигурация атомов.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Связь периодического закона и Периодическо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системы химических элементов Д. 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Строение вещества. Химическая связь. Виды химической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 Водородная связь. </w:t>
      </w:r>
      <w:r>
        <w:rPr>
          <w:rFonts w:ascii="Times New Roman" w:hAnsi="Times New Roman"/>
          <w:color w:val="000000"/>
          <w:sz w:val="28"/>
          <w:lang w:val="ru-RU"/>
        </w:rPr>
        <w:t xml:space="preserve">Валентность.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Электроотрицательность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. Степень окисления. </w:t>
      </w:r>
      <w:r>
        <w:rPr>
          <w:rFonts w:ascii="Times New Roman" w:hAnsi="Times New Roman"/>
          <w:color w:val="000000"/>
          <w:sz w:val="28"/>
          <w:lang w:val="ru-RU"/>
        </w:rPr>
        <w:t xml:space="preserve">Ионы: катионы и анионы.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 дисперсных системах. Истинные и коллоидные растворы. Массовая доля вещества в растворе.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Номенклатура неорганических веществ. Генетическая связь неорганических веществ, принадлежащих к различным классам.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слабые электролиты. Среда водных растворов веществ: кислая, нейтральная, щелочная.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демонстрация таблиц «Периодическая система химических элементов Д. И. Менделеева», изучение моделей кристаллических решёток, наблюдение и описание демонстрационных и лабораторных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«Влияние различных факторов на скорость химической реакции».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Расчётные задачи.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Расчёты по уравнениям химических реакций, в том числе термохимические расчёты, расчёты с использованием понятия «массовая доля вещества».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Неорганическая химия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Неметаллы. Положение неметаллов в Периодической системе химических элементов Д. И. Менделеева и особенности строения атомов. </w:t>
      </w:r>
      <w:r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неметаллов. Аллотропия неметаллов (на примере кислорода, серы, фосфора и углерода).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важнейших неметаллов и их соединений.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Металлы. Положение металлов в Периодической системе химических элементов Д. И. Менделеева. Особенности строения электронных оболочек атомов металлов. </w:t>
      </w:r>
      <w:r>
        <w:rPr>
          <w:rFonts w:ascii="Times New Roman" w:hAnsi="Times New Roman"/>
          <w:color w:val="000000"/>
          <w:sz w:val="28"/>
          <w:lang w:val="ru-RU"/>
        </w:rPr>
        <w:t xml:space="preserve">Общие физические свойства металлов. Сплавы металлов. Электрохимический ряд напряжений металлов.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важнейших металлов (натрий, калий, кальций, магний, алюминий, цинк, хром, железо, медь) и их соединений.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способы получения металлов. Применение металлов в быту и технике.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коллекции «Металлы и сплавы»,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Расчётные задачи.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Химия и жизнь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Человек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Межпредметные связи.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явление.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макро- и микроэлементы, витамины, обмен веществ в организме.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География: минералы, горные породы, полезные ископаемые, топливо, ресурсы.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</w:t>
      </w:r>
      <w:r>
        <w:rPr>
          <w:rFonts w:ascii="Times New Roman" w:hAnsi="Times New Roman"/>
          <w:color w:val="000000"/>
          <w:sz w:val="28"/>
          <w:lang w:val="ru-RU"/>
        </w:rPr>
        <w:t xml:space="preserve">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block-60522597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ХИМИИ НА БАЗОВОМ УРОВНЕ СРЕДНЕГО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обучающимися программ среднего общего образования (личностным, метапредметным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в своей деятельности ценностно-смысловыми установками, присущими целостной системе химического образования;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наличие правосознания экологической культуры и способности ставить цели и строить жизненные планы.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достигаются в единстве учебной и воспитательной деятельности в соответствии с гуманистическ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осознания обучающимися своих конституционных прав и обязанностей, уважения к закону и правопорядку;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способности понимать и принимать мотивы, намерения, логику и аргументы других при анализе различных видов учебной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и познавательных мотивов в получении и последующем анализе информации о передовых достижениях современной отечественной химии;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этического поведения;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формирования культуры здоровья: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осознания последствий и неприятия вредных привычек (употребления алкоголя, наркотиков, курения);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5) трудового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коммуникативной компетентности в учебно-исследовательской деятельности, общественно полезной, творческой и других видах деятельности;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экологического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 целесообразного отношения к природе, как источнику существования жизни на Земле;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осознания необходимости использования достижений химии для решения вопросов рационального природопользования;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наличия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7) ценности научного познания: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</w:t>
      </w:r>
      <w:r>
        <w:rPr>
          <w:rFonts w:ascii="Times New Roman" w:hAnsi="Times New Roman"/>
          <w:color w:val="000000"/>
          <w:sz w:val="28"/>
          <w:lang w:val="ru-RU"/>
        </w:rPr>
        <w:t xml:space="preserve">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убеждённости в особой значимости химии для современной цивилизации: в её гуманистической направленности и важной роли в создании новой базы матери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способности самостоятельно использовать химические знания для решения проблем в реальных жизненных ситуациях;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интереса к особенностям труда в различных сферах профессиональной деятельности.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значимые для формирования мировоззрения обучающихся междисциплинарные (межпредметные) общенаучные понятия, отражающие целостность научной ка</w:t>
      </w:r>
      <w:r>
        <w:rPr>
          <w:rFonts w:ascii="Times New Roman" w:hAnsi="Times New Roman"/>
          <w:color w:val="000000"/>
          <w:sz w:val="28"/>
          <w:lang w:val="ru-RU"/>
        </w:rPr>
        <w:t xml:space="preserve">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учебными познавательными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цели деятельности, задавая параметры и критерии их достижения, соотносить результаты деятельности с поставленными целями;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соответствующие понятия для объяснения отдельных фактов и явлений;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познания, используемые в химии символические (знаковые) модели, преобразовывать модельные представления – химиче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2) 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основами методов научного познания веществ и химических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3) 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(схемы, графики, диаграммы, таблицы, рисунки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 преобразовывать знаково-символические средства наглядности.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</w:t>
      </w:r>
      <w:r>
        <w:rPr>
          <w:rFonts w:ascii="Times New Roman" w:hAnsi="Times New Roman"/>
          <w:color w:val="000000"/>
          <w:sz w:val="28"/>
          <w:lang w:val="ru-RU"/>
        </w:rPr>
        <w:t xml:space="preserve">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</w:t>
      </w:r>
      <w:r>
        <w:rPr>
          <w:rFonts w:ascii="Times New Roman" w:hAnsi="Times New Roman"/>
          <w:color w:val="000000"/>
          <w:sz w:val="28"/>
          <w:lang w:val="ru-RU"/>
        </w:rPr>
        <w:t xml:space="preserve">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 своей деятельности на основе самоанализа и самооценки.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курса «Органическая химия» отражают: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природы, </w:t>
      </w:r>
      <w:r>
        <w:rPr>
          <w:rFonts w:ascii="Times New Roman" w:hAnsi="Times New Roman"/>
          <w:color w:val="000000"/>
          <w:sz w:val="28"/>
          <w:lang w:val="ru-RU"/>
        </w:rPr>
        <w:t xml:space="preserve">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молекула,</w:t>
      </w:r>
      <w:r>
        <w:rPr>
          <w:rFonts w:ascii="Times New Roman" w:hAnsi="Times New Roman"/>
          <w:color w:val="000000"/>
          <w:sz w:val="28"/>
          <w:lang w:val="ru-RU"/>
        </w:rPr>
        <w:t xml:space="preserve">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</w:t>
      </w:r>
      <w:r>
        <w:rPr>
          <w:rFonts w:ascii="Times New Roman" w:hAnsi="Times New Roman"/>
          <w:color w:val="000000"/>
          <w:sz w:val="28"/>
          <w:lang w:val="ru-RU"/>
        </w:rPr>
        <w:t xml:space="preserve">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</w:t>
      </w:r>
      <w:r>
        <w:rPr>
          <w:rFonts w:ascii="Times New Roman" w:hAnsi="Times New Roman"/>
          <w:color w:val="000000"/>
          <w:sz w:val="28"/>
          <w:lang w:val="ru-RU"/>
        </w:rPr>
        <w:t xml:space="preserve">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использовать химич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</w:t>
      </w:r>
      <w:r>
        <w:rPr>
          <w:rFonts w:ascii="Times New Roman" w:hAnsi="Times New Roman"/>
          <w:color w:val="000000"/>
          <w:sz w:val="28"/>
          <w:lang w:val="ru-RU"/>
        </w:rPr>
        <w:t xml:space="preserve">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 xml:space="preserve">IUPAC</w:t>
      </w:r>
      <w:r>
        <w:rPr>
          <w:rFonts w:ascii="Times New Roman" w:hAnsi="Times New Roman"/>
          <w:color w:val="000000"/>
          <w:sz w:val="28"/>
          <w:lang w:val="ru-RU"/>
        </w:rPr>
        <w:t xml:space="preserve">), а также приводить тривиальны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</w:t>
      </w:r>
      <w:r>
        <w:rPr>
          <w:rFonts w:ascii="Times New Roman" w:hAnsi="Times New Roman"/>
          <w:color w:val="000000"/>
          <w:sz w:val="28"/>
          <w:lang w:val="ru-RU"/>
        </w:rPr>
        <w:t xml:space="preserve">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владеть системой знаний об основных методах научного познан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</w:t>
      </w:r>
      <w:r>
        <w:rPr>
          <w:rFonts w:ascii="Times New Roman" w:hAnsi="Times New Roman"/>
          <w:color w:val="000000"/>
          <w:sz w:val="28"/>
          <w:lang w:val="ru-RU"/>
        </w:rPr>
        <w:t xml:space="preserve">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</w:t>
      </w:r>
      <w:r>
        <w:rPr>
          <w:rFonts w:ascii="Times New Roman" w:hAnsi="Times New Roman"/>
          <w:color w:val="000000"/>
          <w:sz w:val="28"/>
          <w:lang w:val="ru-RU"/>
        </w:rPr>
        <w:t xml:space="preserve">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слепых и слабовидящих обучающихся: умение использовать рельефно-точечную систему обозначений Л. Брайля для записи химических формул.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курса «Общая и неорганическая химия» отражают: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естественно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 xml:space="preserve">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 электронные орбитали атомов, ион, молекула, моль, молярный объём, валентность, электроотрицательность, степень о</w:t>
      </w:r>
      <w:r>
        <w:rPr>
          <w:rFonts w:ascii="Times New Roman" w:hAnsi="Times New Roman"/>
          <w:color w:val="000000"/>
          <w:sz w:val="28"/>
          <w:lang w:val="ru-RU"/>
        </w:rPr>
        <w:t xml:space="preserve">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</w:t>
      </w:r>
      <w:r>
        <w:rPr>
          <w:rFonts w:ascii="Times New Roman" w:hAnsi="Times New Roman"/>
          <w:color w:val="000000"/>
          <w:sz w:val="28"/>
          <w:lang w:val="ru-RU"/>
        </w:rPr>
        <w:t xml:space="preserve">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использовать химическую символику для составления формул веществ и уравнений химических реакций, </w:t>
      </w:r>
      <w:r>
        <w:rPr>
          <w:rFonts w:ascii="Times New Roman" w:hAnsi="Times New Roman"/>
          <w:color w:val="000000"/>
          <w:sz w:val="28"/>
          <w:lang w:val="ru-RU"/>
        </w:rPr>
        <w:t xml:space="preserve">систематическую номенклатуру (</w:t>
      </w:r>
      <w:r>
        <w:rPr>
          <w:rFonts w:ascii="Times New Roman" w:hAnsi="Times New Roman"/>
          <w:color w:val="000000"/>
          <w:sz w:val="28"/>
        </w:rPr>
        <w:t xml:space="preserve">IUPAC</w:t>
      </w:r>
      <w:r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определять валентность и степень окисления химических элементов в соединениях различ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 xml:space="preserve">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p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 xml:space="preserve">d</w:t>
      </w:r>
      <w:r>
        <w:rPr>
          <w:rFonts w:ascii="Times New Roman" w:hAnsi="Times New Roman"/>
          <w:color w:val="000000"/>
          <w:sz w:val="28"/>
          <w:lang w:val="ru-RU"/>
        </w:rPr>
        <w:t xml:space="preserve"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сущность окислительно-восстановительных реакций посредством составления электронного баланса этих реакций;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проводить вычисления с использованием понятия «массовая доля вещества в растворе», объёмных отношений газ</w:t>
      </w:r>
      <w:r>
        <w:rPr>
          <w:rFonts w:ascii="Times New Roman" w:hAnsi="Times New Roman"/>
          <w:color w:val="000000"/>
          <w:sz w:val="28"/>
          <w:lang w:val="ru-RU"/>
        </w:rPr>
        <w:t xml:space="preserve">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</w:t>
      </w:r>
      <w:r>
        <w:rPr>
          <w:rFonts w:ascii="Times New Roman" w:hAnsi="Times New Roman"/>
          <w:color w:val="000000"/>
          <w:sz w:val="28"/>
          <w:lang w:val="ru-RU"/>
        </w:rPr>
        <w:t xml:space="preserve">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</w:t>
      </w:r>
      <w:r>
        <w:rPr>
          <w:rFonts w:ascii="Times New Roman" w:hAnsi="Times New Roman"/>
          <w:color w:val="000000"/>
          <w:sz w:val="28"/>
          <w:lang w:val="ru-RU"/>
        </w:rPr>
        <w:t xml:space="preserve">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</w:t>
      </w:r>
      <w:r>
        <w:rPr>
          <w:rFonts w:ascii="Times New Roman" w:hAnsi="Times New Roman"/>
          <w:color w:val="000000"/>
          <w:sz w:val="28"/>
          <w:lang w:val="ru-RU"/>
        </w:rPr>
        <w:t xml:space="preserve">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</w:t>
      </w:r>
      <w:r>
        <w:rPr>
          <w:rFonts w:ascii="Times New Roman" w:hAnsi="Times New Roman"/>
          <w:color w:val="000000"/>
          <w:sz w:val="28"/>
          <w:lang w:val="ru-RU"/>
        </w:rPr>
        <w:t xml:space="preserve">смысл показателя ПДК, пояснять на примерах способы уменьшения и предотвращения их вредного воздействия на организм человека;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слепых и слабовидящих обучающихся: умение использовать рельефно-точечную систему обозначений Л. Брайля для записи химических формул.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8" w:name="block-60522598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Теоретические основы органической химии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химии. Теория строения органических соединений А. М. Бутлерова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Углеводороды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углеводороды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алканы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алкены, алкадиены, алкины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Ароматические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углеводороды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 и их переработка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Кислородсодержащие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органические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Спирты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Фенол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Карбоновые кислоты. Сложные эфиры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Азотсодержащие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органические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Белки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Высокомолекулярные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Каучуки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Волокна</w:t>
            </w:r>
            <w:r/>
          </w:p>
        </w:tc>
        <w:tc>
          <w:tcPr>
            <w:tcMar>
              <w:left w:w="100" w:type="dxa"/>
              <w:top w:w="50" w:type="dxa"/>
            </w:tcMar>
            <w:tcW w:w="102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6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8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Периодический закон и Периодическая система химических элементов Д. И. Менделеева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Неорганическая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химия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неорганических и органических веществ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жизнь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жизнь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9" w:name="block-60522599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91"/>
        <w:gridCol w:w="4427"/>
        <w:gridCol w:w="1195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химии, её возникновение, развитие и значение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органических соединений А. М. Бутлерова, её основные положения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органических веществ. Номенклатура (систематическая) и тривиальные названия органических веществ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состав и строение, гомологический 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алканов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состав и строение,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простейшие представители алкенов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«Получение этилена и изучение его свойств»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Бутадиен-1,3 и метилбутадиен-1,3.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синтетического каучука и резины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Ацетилен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представитель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алкинов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уравнению химической реакции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Токсичность аренов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углеводородов, принадлежащих к различным классам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нефть и продукты её переработки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нефть и продукты её переработки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«Углеводороды»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связь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спирты: этиленгликоль и глицерин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и химические свойства,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Альдегиды: формальдегид и ацетальдегид. Ацетон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предельные карбоновые кислоты: муравьиная и уксусная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раствора уксусной кислоты»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Стеариновая и олеиновая кислоты, как представители высших карбоновых кислот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высших карбоновых кислот, их моющее действие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Гидролиз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эфиров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Жиры: гидролиз, применение, биологическая роль жиров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классификация. Важнейшие представители: глюкоза, фруктоза, сахароза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Крахмал и целлюлоза как природные полимеры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«Кислородсодержащие органические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соединения»/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азотсодержащих органических соединений /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метиламин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анилин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высокомолекулярные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5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каучуки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волокна</w:t>
            </w:r>
            <w:r/>
          </w:p>
        </w:tc>
        <w:tc>
          <w:tcPr>
            <w:tcMar>
              <w:left w:w="100" w:type="dxa"/>
              <w:top w:w="50" w:type="dxa"/>
            </w:tcMar>
            <w:tcW w:w="79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794"/>
        <w:gridCol w:w="4607"/>
        <w:gridCol w:w="1112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Электронная конфигурация атомов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атомов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связь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Электроотрицательность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Степень окисления.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молекулярного и немолекулярного строения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системах. Истинные и коллоидные растворы. Массовая доля вещества в растворе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соединений. Генетическая связь неорганических веществ, различных классов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реакции. Обратимые реакции. Химическое равновесие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«Влияние различных факторов на скорость химической реакции»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pH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Гидролиз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Окислительно-восстановительные реакции. Понятие об электролизе расплавов и растворов солей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«Теоретические основы химии»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металлов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Сплавы металлов. Электрохимический ряд напряжений металлов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алюминий) и 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хрома, меди и 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цинка, железа и 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"Решение экспериментальных задач по теме «Металлы»"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Неметаллы, их положение в Периодической системе химических элементов Д. И. Менделеева и особенности строения атомов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неметаллов. Аллотропия неметаллов (на примере кислорода, серы, фосфора и углерода)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галогенов, серы и 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азота, фосфора и 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углерода, кремния и 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важнейших неметаллов и их соединений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«Неметаллы». Вычисления по уравнениям химических реакций и термохимические расчёты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«Решение экспериментальных задач по теме "Неметаллы"»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«Металлы» и «Неметаллы»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Неорганические и органические кислоты. Неорганические и органические основания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неорганические и органические соединения. Генетическая связь неорганических и органических веществ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важнейших веществ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мире веществ и материалов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1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1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</w:t>
            </w:r>
            <w:r/>
          </w:p>
        </w:tc>
        <w:tc>
          <w:tcPr>
            <w:tcMar>
              <w:left w:w="100" w:type="dxa"/>
              <w:top w:w="50" w:type="dxa"/>
            </w:tcMar>
            <w:tcW w:w="72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4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5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/>
        <w:rPr>
          <w:lang w:val="ru-RU"/>
        </w:rPr>
      </w:pPr>
      <w:r/>
      <w:bookmarkStart w:id="10" w:name="block-60522600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74"/>
        <w:gridCol w:w="723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системой химических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M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использовать хими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IUPAC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определять виды химической связи в органических соединениях (одинарные и кратные)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применять: 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Углеводороды. Кислородсодержащие и азотсодержащие органические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Высокомолекулярные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приводить тривиальн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состав, строение, физические и химические свойства типичных представителей различных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владеть системой знаний об основных методах научного позна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185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осознавать опасность 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s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d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кристаллическая решётка, типы химических реакций (окислительно-восстановительные, экзо-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выявлять характерны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методами научного познания веществ и химических явлений (наблюдение, измерение, эксперимент, моделирование)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определять валентность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определять характер среды в водных растворах неорганических соединений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объяснять зависимость скорости химической реакции от различных факторов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объяснять характер смещения химического равновесия в зависимости от внешнего воздействия (принцип Ле Шателье)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электронное строение 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неорганическими веществами с помощью уравнений соответствующих химических реакций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устанавливать принадлежность неорганических веществ по их составу к определённому классу (группе) соединений (простые вещества – металлы и неметаллы, оксиды, основания, кислоты, амфотерные гидроксиды, соли)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IUPAC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общих научных принципах и экологических проблемах химического производства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92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1993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вычисления с использованием понятия «массовая доля вещества в растворе», объёмных отношений га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11" w:name="block-60522601"/>
      <w:r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69"/>
        <w:gridCol w:w="824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Углеводороды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бутадиен-1,3 и метилбутадиен-1,3: строение, важнейшие химические свойства (реакция полимеризации).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каучука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Толуол: состав, строение, физические и химические свойства (реакции галогенирования и нитрования), получение и применение. Токсичность аренов. Генетическая связь между углеводородами, принадлежащими к различным классам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Каменный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продукты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переработки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Кислородсодержащие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применение. Водородные св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между 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глицерина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этиленгликоля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Токсичность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фенола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фенола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предельные карбоновые кислоты. Муравьиная и уксусная кислоты: стро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Гидролиз сложных эфиров. Жиры. Гидролиз жиров.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жиров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восстановление, брожение глюкоз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Азотсодержащие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 как природные высокомолекулярные соединения. Первичная, вторичная и третичная структура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гидролиз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денатурация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качественные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Высокомолекулярные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синтеза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высокомолекулярных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полимеризация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поликонденсация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449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каучука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резины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144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14"/>
        <w:gridCol w:w="8197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243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s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p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орбиталям в атомах элементов первых четырёх периодов.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конфигурация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атомов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развитии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связь. Виды химической связи (ковалентная неполярная и полярная, ионная, металлическая). Ионы: катионы и анионы. Механизмы образования ковалентной химической связи (обменный и донорно-акцепторный).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Водородная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Электроотрицательность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молекулярного и немолекулярного строения. Закон постоянства состава вещества. Типы кристаллических решёток. Зависимость свойства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 от типа кристаллической решётки. Понятие о дисперсных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Истинные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коллоидные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растворы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Массовая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растворе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Номенклатура неорганических веществ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реакции, её зависимость от различных факторов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Принцип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Шателье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Электролитическая диссоциация. Сильные и слабые электролиты. Среда водных растворов 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Реакции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ионного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обмена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Окислительно-восстановительные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Неметаллы. Положение неметаллов в Периодической системе химических элементов Д.И.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неметаллов. Аллотропия неметаллов (на примере кислорода, серы, фосфора и углерода)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важнейших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неметаллов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соединений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Металлы. Положение металлов в Периодической системе химических элементов Д.И. Менделеева. Особенности строения электронных оболочек атомов металлов.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физические свойства металлов. Сплавы металлов. Электрохимический ряд напряжений металлов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металлов в быту и технике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неорганических веществ, принадлежащих к различным классам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методах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принципах промышленного получения важнейших веществ. Человек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65" w:type="dxa"/>
            <w:vAlign w:val="center"/>
            <w:textDirection w:val="lrTb"/>
            <w:noWrap w:val="false"/>
          </w:tcPr>
          <w:p>
            <w:pPr>
              <w:ind w:left="336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451" w:type="dxa"/>
            <w:vAlign w:val="center"/>
            <w:textDirection w:val="lrTb"/>
            <w:noWrap w:val="false"/>
          </w:tcPr>
          <w:p>
            <w:pPr>
              <w:ind w:left="336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12" w:name="block-60522602"/>
      <w:r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2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4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4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4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4"/>
    <w:link w:val="62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4"/>
    <w:link w:val="636"/>
    <w:uiPriority w:val="10"/>
    <w:rPr>
      <w:sz w:val="48"/>
      <w:szCs w:val="48"/>
    </w:rPr>
  </w:style>
  <w:style w:type="character" w:styleId="37">
    <w:name w:val="Subtitle Char"/>
    <w:basedOn w:val="624"/>
    <w:link w:val="634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4"/>
    <w:link w:val="627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character" w:styleId="47">
    <w:name w:val="Caption Char"/>
    <w:basedOn w:val="641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next w:val="619"/>
    <w:link w:val="62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21">
    <w:name w:val="Heading 2"/>
    <w:basedOn w:val="619"/>
    <w:next w:val="619"/>
    <w:link w:val="63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22">
    <w:name w:val="Heading 3"/>
    <w:basedOn w:val="619"/>
    <w:next w:val="619"/>
    <w:link w:val="63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23">
    <w:name w:val="Heading 4"/>
    <w:basedOn w:val="619"/>
    <w:next w:val="619"/>
    <w:link w:val="63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Header"/>
    <w:basedOn w:val="619"/>
    <w:link w:val="62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28" w:customStyle="1">
    <w:name w:val="Верхний колонтитул Знак"/>
    <w:basedOn w:val="624"/>
    <w:link w:val="627"/>
    <w:uiPriority w:val="99"/>
  </w:style>
  <w:style w:type="character" w:styleId="629" w:customStyle="1">
    <w:name w:val="Заголовок 1 Знак"/>
    <w:basedOn w:val="624"/>
    <w:link w:val="620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30" w:customStyle="1">
    <w:name w:val="Заголовок 2 Знак"/>
    <w:basedOn w:val="624"/>
    <w:link w:val="621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31" w:customStyle="1">
    <w:name w:val="Заголовок 3 Знак"/>
    <w:basedOn w:val="624"/>
    <w:link w:val="622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32" w:customStyle="1">
    <w:name w:val="Заголовок 4 Знак"/>
    <w:basedOn w:val="624"/>
    <w:link w:val="623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33">
    <w:name w:val="Normal Indent"/>
    <w:basedOn w:val="619"/>
    <w:uiPriority w:val="99"/>
    <w:unhideWhenUsed/>
    <w:pPr>
      <w:ind w:left="720"/>
    </w:pPr>
  </w:style>
  <w:style w:type="paragraph" w:styleId="634">
    <w:name w:val="Subtitle"/>
    <w:basedOn w:val="619"/>
    <w:next w:val="619"/>
    <w:link w:val="63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35" w:customStyle="1">
    <w:name w:val="Подзаголовок Знак"/>
    <w:basedOn w:val="624"/>
    <w:link w:val="63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36">
    <w:name w:val="Title"/>
    <w:basedOn w:val="619"/>
    <w:next w:val="619"/>
    <w:link w:val="637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7" w:customStyle="1">
    <w:name w:val="Название Знак"/>
    <w:basedOn w:val="624"/>
    <w:link w:val="636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38">
    <w:name w:val="Emphasis"/>
    <w:basedOn w:val="624"/>
    <w:uiPriority w:val="20"/>
    <w:qFormat/>
    <w:rPr>
      <w:i/>
      <w:iCs/>
    </w:rPr>
  </w:style>
  <w:style w:type="character" w:styleId="639">
    <w:name w:val="Hyperlink"/>
    <w:basedOn w:val="624"/>
    <w:uiPriority w:val="99"/>
    <w:unhideWhenUsed/>
    <w:rPr>
      <w:color w:val="0563c1" w:themeColor="hyperlink"/>
      <w:u w:val="single"/>
    </w:rPr>
  </w:style>
  <w:style w:type="table" w:styleId="640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1">
    <w:name w:val="Caption"/>
    <w:basedOn w:val="619"/>
    <w:next w:val="619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Музыка Татьяна</cp:lastModifiedBy>
  <cp:revision>5</cp:revision>
  <dcterms:created xsi:type="dcterms:W3CDTF">2025-08-29T01:57:00Z</dcterms:created>
  <dcterms:modified xsi:type="dcterms:W3CDTF">2025-09-04T10:31:37Z</dcterms:modified>
</cp:coreProperties>
</file>