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D3" w:rsidRDefault="006103D3" w:rsidP="0061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ОТЧЕТ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Комитета образования, спорта и молодежной политики 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Парфинского муниципального района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анализа состояния и перспектив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развития системы образования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2021</w:t>
      </w: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6103D3" w:rsidRPr="00276A12" w:rsidRDefault="006103D3" w:rsidP="006103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03D3" w:rsidRPr="00276A12" w:rsidRDefault="006103D3" w:rsidP="006103D3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состояния и перспектив развития системы образования</w:t>
      </w:r>
    </w:p>
    <w:p w:rsidR="006103D3" w:rsidRPr="00276A12" w:rsidRDefault="006103D3" w:rsidP="006103D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Вводная часть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Парфинский</w:t>
      </w:r>
      <w:proofErr w:type="spellEnd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район входит в число центральных районов Новгородской области, расположен в </w:t>
      </w:r>
      <w:proofErr w:type="spellStart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Приильменской</w:t>
      </w:r>
      <w:proofErr w:type="spellEnd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низменности и имеет благоприятное транспортно-географическое положение.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 входит в Озерный край России. В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округе около сотни озер, почти половина из них в дельте реки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Ловати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Район занимает площадь 1591 кв. км. Районный центр -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. Парфино находится на расстоянии </w:t>
      </w:r>
      <w:smartTag w:uri="urn:schemas-microsoft-com:office:smarttags" w:element="metricconverter">
        <w:smartTagPr>
          <w:attr w:name="ProductID" w:val="12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120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от Великого Новгорода, от города Старая Русса - </w:t>
      </w:r>
      <w:smartTag w:uri="urn:schemas-microsoft-com:office:smarttags" w:element="metricconverter">
        <w:smartTagPr>
          <w:attr w:name="ProductID" w:val="2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20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от Санкт-Петербурга - </w:t>
      </w:r>
      <w:smartTag w:uri="urn:schemas-microsoft-com:office:smarttags" w:element="metricconverter">
        <w:smartTagPr>
          <w:attr w:name="ProductID" w:val="34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340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>Численность населения, проживающего на территории района на 01.01.20</w:t>
      </w:r>
      <w:r w:rsidR="00B02F59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г. составляет 1</w:t>
      </w:r>
      <w:r w:rsidR="00B02F59">
        <w:rPr>
          <w:rFonts w:ascii="Times New Roman" w:eastAsia="Times New Roman" w:hAnsi="Times New Roman" w:cs="Times New Roman"/>
          <w:sz w:val="28"/>
          <w:szCs w:val="28"/>
        </w:rPr>
        <w:t>1809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B02F5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год в районе родилось </w:t>
      </w:r>
      <w:r w:rsidR="00B02F59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детей, </w:t>
      </w:r>
      <w:r w:rsidR="00B02F59">
        <w:rPr>
          <w:rFonts w:ascii="Times New Roman" w:eastAsia="Times New Roman" w:hAnsi="Times New Roman" w:cs="Times New Roman"/>
          <w:sz w:val="28"/>
          <w:szCs w:val="28"/>
        </w:rPr>
        <w:t>(за 2020 г. – 89 детей, 76,4</w:t>
      </w:r>
      <w:r>
        <w:rPr>
          <w:rFonts w:ascii="Times New Roman" w:eastAsia="Times New Roman" w:hAnsi="Times New Roman" w:cs="Times New Roman"/>
          <w:sz w:val="28"/>
          <w:szCs w:val="28"/>
        </w:rPr>
        <w:t>% к п</w:t>
      </w:r>
      <w:r w:rsidR="00B02F59">
        <w:rPr>
          <w:rFonts w:ascii="Times New Roman" w:eastAsia="Times New Roman" w:hAnsi="Times New Roman" w:cs="Times New Roman"/>
          <w:sz w:val="28"/>
          <w:szCs w:val="28"/>
        </w:rPr>
        <w:t>редыдуще</w:t>
      </w:r>
      <w:r w:rsidR="002D227F">
        <w:rPr>
          <w:rFonts w:ascii="Times New Roman" w:eastAsia="Times New Roman" w:hAnsi="Times New Roman" w:cs="Times New Roman"/>
          <w:sz w:val="28"/>
          <w:szCs w:val="28"/>
        </w:rPr>
        <w:t xml:space="preserve">му году). </w:t>
      </w:r>
      <w:r w:rsidR="00B02F59">
        <w:rPr>
          <w:rFonts w:ascii="Times New Roman" w:eastAsia="Times New Roman" w:hAnsi="Times New Roman" w:cs="Times New Roman"/>
          <w:sz w:val="28"/>
          <w:szCs w:val="28"/>
        </w:rPr>
        <w:t>Умерло за 2021 год 313 человек (за 2020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B02F59">
        <w:rPr>
          <w:rFonts w:ascii="Times New Roman" w:eastAsia="Times New Roman" w:hAnsi="Times New Roman" w:cs="Times New Roman"/>
          <w:sz w:val="28"/>
          <w:szCs w:val="28"/>
        </w:rPr>
        <w:t xml:space="preserve"> 211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человек, </w:t>
      </w:r>
      <w:r w:rsidR="00B02F59">
        <w:rPr>
          <w:rFonts w:ascii="Times New Roman" w:eastAsia="Times New Roman" w:hAnsi="Times New Roman" w:cs="Times New Roman"/>
          <w:sz w:val="28"/>
          <w:szCs w:val="28"/>
        </w:rPr>
        <w:t>148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>% к предыдущему году).</w:t>
      </w:r>
    </w:p>
    <w:p w:rsidR="00B731DD" w:rsidRDefault="006103D3" w:rsidP="00B731DD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731DD" w:rsidRPr="00B73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уровень регистрируемой безработицы по сравнению с</w:t>
      </w:r>
      <w:r w:rsidRPr="00B73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началом года </w:t>
      </w:r>
      <w:r w:rsidR="00B731DD" w:rsidRPr="00B73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0,9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трудоспособного</w:t>
      </w:r>
      <w:r w:rsidRPr="00B73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31DD" w:rsidRPr="00B73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ru-RU"/>
        </w:rPr>
        <w:t>. Численность зарегистрированных безработных на</w:t>
      </w:r>
      <w:r w:rsidRPr="00B73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31DD" w:rsidRPr="00B731DD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01.01.2022 года составила 54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B731DD" w:rsidRPr="00B731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1DD" w:rsidRDefault="00B731DD" w:rsidP="00B731DD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1DD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 2021 года  в отдел занятости населения за содействием в поиске подходящей работы обратилось 434</w:t>
      </w:r>
      <w:r w:rsidRPr="00B731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чел. Их них женщин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215 чел. Трудоустроено - 215 чел., из них женщин – 107 чел.</w:t>
      </w:r>
    </w:p>
    <w:p w:rsidR="00B731DD" w:rsidRDefault="00B731DD" w:rsidP="00B731DD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 всех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граждан, обратившихся за год в отдел занятости с целью поиска работы: сокращенных – 4</w:t>
      </w:r>
      <w:r w:rsidRPr="00B731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чел.; инвалидов – 6 чел.; стремящихся возобновить трудовую деятельность после длительного перерыва – 58 чел.;  одинокие родители – 0</w:t>
      </w:r>
      <w:r w:rsidRPr="00B731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чел.; многодетные родители – 14 чел.; граждане предпенсионного возраста (за 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ar-SA"/>
        </w:rPr>
        <w:t>лет до наступления пенсионного возраста) – 47</w:t>
      </w:r>
      <w:r w:rsidRPr="00B731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чел.; сироты – 3 чел.</w:t>
      </w:r>
      <w:proofErr w:type="gramEnd"/>
    </w:p>
    <w:p w:rsidR="00B731DD" w:rsidRPr="00B731DD" w:rsidRDefault="00B731DD" w:rsidP="00B731DD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B731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Средняя продолжительность безработицы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B731DD">
        <w:rPr>
          <w:rFonts w:ascii="Times New Roman" w:eastAsia="Times New Roman" w:hAnsi="Times New Roman" w:cs="Times New Roman"/>
          <w:sz w:val="28"/>
          <w:szCs w:val="28"/>
          <w:lang w:eastAsia="ar-SA"/>
        </w:rPr>
        <w:t>3,84 мес.</w:t>
      </w:r>
    </w:p>
    <w:p w:rsidR="006103D3" w:rsidRPr="00276A12" w:rsidRDefault="006103D3" w:rsidP="0061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103D3" w:rsidRPr="00276A12" w:rsidRDefault="006103D3" w:rsidP="00610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A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 органом Администрации муниципального района, исполняющим муниципальные функции и реализующим полномочия по решению вопросов местного значения в области образования, спорта и молодежной политики, а также по исполнению отдельных государственных полномочий, является Комитет образования, спорта и молодежной политики Администрации Парфинского муниципального района.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Комитет образования, спорта и молодежной политики Администрации Парфинского муниципального района расположен по адресу: Новгородская 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область, п. Парфино, ул. Карла Маркса, д.65. Телефон/факс: (881650)6-11-72/ (881650)6-11-30. Электронная почта: </w:t>
      </w:r>
      <w:hyperlink r:id="rId6" w:history="1">
        <w:r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parvrono</w:t>
        </w:r>
        <w:r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76A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Развитие системы образования муниципального района выстраивается в соответствии с федеральным законом от 29.12.2012 № 273-ФЗ «Об образовании в Российской Федерации», с майскими указами Президента Российской Федерации от 07.05.2012 г., с приоритетными проектами развития образования Новгородской области. Анализ состояния и перспектив развития системы образования проводился на основании данных статистических форм отчетности 85-К, 1-ДО, ОО-1, ОО-2, опросов,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анкетирований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проведенных образовательными организациями района. 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3D3" w:rsidRPr="00276A12" w:rsidRDefault="006103D3" w:rsidP="006103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состояния и перспектив развития системы образования</w:t>
      </w:r>
    </w:p>
    <w:p w:rsidR="00B10143" w:rsidRPr="00B10143" w:rsidRDefault="00B10143" w:rsidP="00B10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Система дошкольного образования района нацелена на максимальный охват образовательными услугами детей в возрасте от 3 до 7 лет. В 2021 году, как и на протяжении последних лет, доля детей в возрасте от 3 до 7 лет, получающих услуги дошкольного образования, составила 100%. В </w:t>
      </w:r>
      <w:proofErr w:type="spellStart"/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Парфинском</w:t>
      </w:r>
      <w:proofErr w:type="spellEnd"/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районе отсутствует проблема очередности по зачислению детей в дошкольные образовательные учреждения. Высокий охват детей дошкольным образованием связан с тем, что в районе успешно функционирует сеть образовательных организаций. В районе основную общеобразовательную программу дошкольного образования реализуют  дошкольные группы 3 общеобразовательных организаций.</w:t>
      </w:r>
    </w:p>
    <w:p w:rsidR="00B10143" w:rsidRPr="00B10143" w:rsidRDefault="00B10143" w:rsidP="00B10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Охват детей в возрасте от 2 месяцев до 7 лет дошкольными образовательными услугами составляет 81% (выше на 3% уровня охвата 2020 года), от 2 месяцев до 3 лет – 48% (выше </w:t>
      </w:r>
      <w:proofErr w:type="gramStart"/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proofErr w:type="gramEnd"/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10% уровня охвата 2020 года). Всего дошкольные образовательные услуги получают 471 ребенок, что на 23 человека меньше, чем в предыдущем году – это связано с уменьшением количества детей, выбытием семей за пределы района.</w:t>
      </w:r>
    </w:p>
    <w:p w:rsidR="00B10143" w:rsidRPr="00B10143" w:rsidRDefault="00B10143" w:rsidP="00B10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 составляет в группах компенсирующей направленности – 11 человек, в группах общеразвивающей направленности – 20 человек, в группах комбинированной направленности – 15 человек, в группах кратковременного пребывания - нет.</w:t>
      </w:r>
    </w:p>
    <w:p w:rsidR="00B10143" w:rsidRPr="00B10143" w:rsidRDefault="00B10143" w:rsidP="00B10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Таким образом, удельный вес численности детей, посещающих группы компенсирующей направленности – 17%, группы общеразвивающей направленности – 74%, группы комбинированной направленности – 9%.</w:t>
      </w:r>
    </w:p>
    <w:p w:rsidR="00B10143" w:rsidRPr="00B10143" w:rsidRDefault="00B10143" w:rsidP="00B10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На отчетный период в районе численность педагогических работников в образовательных организациях, реализующих образовательные программы дошкольного образования, составила 43 человека. На 1 педагогического работника приходится 10,9 воспитанников, что меньше на 0,6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чел. </w:t>
      </w:r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чем в 2020 году. В составе педагогических работников воспитатели составляют 76%, старшие воспитатели – 7%, музыкальные руководители - 7%, учителя-логопеды – 5%, педагоги-психологи- 5%.</w:t>
      </w:r>
    </w:p>
    <w:p w:rsidR="00B10143" w:rsidRPr="00B10143" w:rsidRDefault="00B10143" w:rsidP="00B10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2021 году отношение среднемесячной заработной платы педагогических работников дошкольных образовательных организаций к </w:t>
      </w:r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среднемесячной заработной плате в сфере общего образ</w:t>
      </w:r>
      <w:r w:rsidR="006C3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ования в субъекте составляет 112,4%.</w:t>
      </w:r>
    </w:p>
    <w:p w:rsidR="00B10143" w:rsidRPr="00B10143" w:rsidRDefault="00B10143" w:rsidP="00B10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 2021 году создавались условия для получения дошкольного образования лицами с ограниченными возможностями здоровья и детьми-инвалидами. Всего в 2021 году в районе 87 детей дошкольного возраста с ограниченными возможностями здоровья и 4 ребенка-инвалида. Таким образом, в 2021 году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составил – 18%, а детей-инвалидов – 0,8. Удельный вес численности детей с ОВЗ увеличился в сравнении с предыдущим годом на 1%. 50% детей с ОВЗ имеют нарушения речевого развития, 50% - задержку психического развития.</w:t>
      </w:r>
    </w:p>
    <w:p w:rsidR="00B10143" w:rsidRPr="00B10143" w:rsidRDefault="00B10143" w:rsidP="00B10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детьми, составили </w:t>
      </w:r>
      <w:r w:rsidR="009F7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96,5</w:t>
      </w:r>
      <w:r w:rsidR="006C3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тыс. руб. (на 5,9</w:t>
      </w:r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тыс.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6C3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руб. больше, чем в 2020</w:t>
      </w:r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году).</w:t>
      </w:r>
    </w:p>
    <w:p w:rsidR="00B10143" w:rsidRDefault="00B10143" w:rsidP="00B10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10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районе нет зданий дошкольных образовательных организаций, находящихся в аварийном состоянии или требующих капитального ремонта. </w:t>
      </w:r>
    </w:p>
    <w:p w:rsidR="00617185" w:rsidRPr="00617185" w:rsidRDefault="00617185" w:rsidP="00B10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617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2021 г. в школах района 1107 обучающихся. </w:t>
      </w:r>
    </w:p>
    <w:p w:rsidR="006103D3" w:rsidRPr="00617185" w:rsidRDefault="006103D3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Наполняемость классов на уровне начального о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бщего образования составила 13,4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, осн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овного общего образования – 15,2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человека, ср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еднего общего образования – 10,3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3D3" w:rsidRPr="00617185" w:rsidRDefault="006103D3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Все школы района работают в первую смену.</w:t>
      </w:r>
    </w:p>
    <w:p w:rsidR="006103D3" w:rsidRPr="00617185" w:rsidRDefault="00617185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18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2021/2022</w:t>
      </w:r>
      <w:r w:rsidR="006103D3" w:rsidRPr="00617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10-11 классах школ района реализовывался универсальный профиль обучения, на углубленном уровне изуч</w:t>
      </w:r>
      <w:r w:rsidR="006C322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ались русский язык, литература,</w:t>
      </w:r>
      <w:r w:rsidR="006103D3" w:rsidRPr="00617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математика. </w:t>
      </w:r>
    </w:p>
    <w:p w:rsidR="006103D3" w:rsidRPr="00617185" w:rsidRDefault="006103D3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Педагогический состав школ в районе остается стабильным. На отчетный период в районе работали 1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работников.</w:t>
      </w:r>
      <w:r w:rsidRPr="00617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На каждого из них приходится 11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,8 обучающихся школ. </w:t>
      </w:r>
    </w:p>
    <w:p w:rsidR="006103D3" w:rsidRPr="00617185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Количество педагогов в возрасте до 35 лет, работающих в общеобразовательных организациях, в общей чис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ленности учителей составляет 6,7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%.</w:t>
      </w:r>
      <w:r w:rsidRPr="00617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В штате школ имеются социальные педагоги, учителя-логопеды, педагоги-психологи.</w:t>
      </w:r>
    </w:p>
    <w:p w:rsidR="006103D3" w:rsidRPr="00617185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Отношение среднемесячной заработной платы педагогических работников общеобразовательных организаций к среднемесячной заработной плате наемных работников в организациях, у индивидуальных предпринимателей и физических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 xml:space="preserve"> лиц в субъекте составляет 106,3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6103D3" w:rsidRPr="00617185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Все 3 общеобразовательные организации района имеют все виды благоустройства: водоснабжение, центральное отопление, канализацию.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В расчете на </w:t>
      </w:r>
      <w:r w:rsidR="00CA2AF9" w:rsidRPr="00CA2AF9">
        <w:rPr>
          <w:rFonts w:ascii="Times New Roman" w:eastAsia="Times New Roman" w:hAnsi="Times New Roman" w:cs="Times New Roman"/>
          <w:sz w:val="28"/>
          <w:szCs w:val="28"/>
        </w:rPr>
        <w:t>одного учащегося приходится 7,3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>. учебной площади помещений школ.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>В учебных целях в расчете н</w:t>
      </w:r>
      <w:r w:rsidR="00CA2AF9" w:rsidRPr="00CA2AF9">
        <w:rPr>
          <w:rFonts w:ascii="Times New Roman" w:eastAsia="Times New Roman" w:hAnsi="Times New Roman" w:cs="Times New Roman"/>
          <w:sz w:val="28"/>
          <w:szCs w:val="28"/>
        </w:rPr>
        <w:t>а 100 учащихся используется 11,6 персональных компьютеров,  3,7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из них имеют доступ к сети Интернет. 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lastRenderedPageBreak/>
        <w:t>Во всех школах района педагоги ведут электронные журналы на платформе «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Дневник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>», используют в своей деятельности информационные технологии при организации образовательного процесса.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>В районе большое значение придается созданию условий для обучения и развития обучающихся с ограниченными возможностями здоровья.</w:t>
      </w:r>
      <w:r w:rsidRPr="00CA2AF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A2AF9">
        <w:rPr>
          <w:rFonts w:ascii="Times New Roman" w:eastAsia="Times New Roman" w:hAnsi="Times New Roman" w:cs="Times New Roman"/>
          <w:sz w:val="28"/>
          <w:szCs w:val="28"/>
        </w:rPr>
        <w:t>Их количество составило 198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CA2AF9" w:rsidRPr="00CA2AF9">
        <w:rPr>
          <w:rFonts w:ascii="Times New Roman" w:eastAsia="Times New Roman" w:hAnsi="Times New Roman" w:cs="Times New Roman"/>
          <w:sz w:val="28"/>
          <w:szCs w:val="28"/>
        </w:rPr>
        <w:t>97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имеют задержку психического развития. С умственной отсталостью (инте</w:t>
      </w:r>
      <w:r w:rsidR="00CA2AF9" w:rsidRPr="00CA2AF9">
        <w:rPr>
          <w:rFonts w:ascii="Times New Roman" w:eastAsia="Times New Roman" w:hAnsi="Times New Roman" w:cs="Times New Roman"/>
          <w:sz w:val="28"/>
          <w:szCs w:val="28"/>
        </w:rPr>
        <w:t>ллектуальными нарушениями) – 101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человек. Обучается по адаптированной образовательной программе для обучающихся с нарушениями опорно-двигательного аппарата – 1 человек. </w:t>
      </w:r>
      <w:r w:rsidR="00CA2AF9" w:rsidRPr="00CA2AF9">
        <w:rPr>
          <w:rFonts w:ascii="Times New Roman" w:eastAsia="Times New Roman" w:hAnsi="Times New Roman" w:cs="Times New Roman"/>
          <w:sz w:val="28"/>
          <w:szCs w:val="28"/>
        </w:rPr>
        <w:t>В 2021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году большинство детей с ограниченными возможностями здоровья обучались в услови</w:t>
      </w:r>
      <w:r w:rsidR="00CA2AF9" w:rsidRPr="00CA2AF9">
        <w:rPr>
          <w:rFonts w:ascii="Times New Roman" w:eastAsia="Times New Roman" w:hAnsi="Times New Roman" w:cs="Times New Roman"/>
          <w:sz w:val="28"/>
          <w:szCs w:val="28"/>
        </w:rPr>
        <w:t>ях инклюзивного образования – 72% . Из них 21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% - инвалиды. Для обучения данных детей созданы условия во всех общеобразовательных организациях района (в МАОУСШ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>арфино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>, в МАОУСШ п. Пола и МА</w:t>
      </w:r>
      <w:r w:rsidR="00CA2AF9">
        <w:rPr>
          <w:rFonts w:ascii="Times New Roman" w:eastAsia="Times New Roman" w:hAnsi="Times New Roman" w:cs="Times New Roman"/>
          <w:sz w:val="28"/>
          <w:szCs w:val="28"/>
        </w:rPr>
        <w:t xml:space="preserve">ОУОШ </w:t>
      </w:r>
      <w:proofErr w:type="spellStart"/>
      <w:r w:rsidR="00CA2AF9">
        <w:rPr>
          <w:rFonts w:ascii="Times New Roman" w:eastAsia="Times New Roman" w:hAnsi="Times New Roman" w:cs="Times New Roman"/>
          <w:sz w:val="28"/>
          <w:szCs w:val="28"/>
        </w:rPr>
        <w:t>д.Федорково</w:t>
      </w:r>
      <w:proofErr w:type="spellEnd"/>
      <w:r w:rsidR="00CA2AF9">
        <w:rPr>
          <w:rFonts w:ascii="Times New Roman" w:eastAsia="Times New Roman" w:hAnsi="Times New Roman" w:cs="Times New Roman"/>
          <w:sz w:val="28"/>
          <w:szCs w:val="28"/>
        </w:rPr>
        <w:t>). Ученики 1-6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классов, обучающиеся по адаптированным образовательным программам 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умственной отсталостью, перешли на обучение в соответствии с ФГОС.</w:t>
      </w:r>
    </w:p>
    <w:p w:rsidR="006103D3" w:rsidRPr="00CA2AF9" w:rsidRDefault="006103D3" w:rsidP="0061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Одной из важнейших задач образовательных организаций района является создание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условий 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 Так, все обучающиеся школ обеспечены горячим питанием. Физкультурные залы имеются во всех общеобразовательных организациях района. </w:t>
      </w:r>
    </w:p>
    <w:p w:rsidR="006103D3" w:rsidRPr="00F37F41" w:rsidRDefault="006103D3" w:rsidP="0061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F41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финансовых средств, поступивших в общеобразовательные организации в расчете на одного учащегося, составил </w:t>
      </w:r>
      <w:r w:rsidR="00F37F41" w:rsidRPr="00F37F41">
        <w:rPr>
          <w:rFonts w:ascii="Times New Roman" w:eastAsia="Times New Roman" w:hAnsi="Times New Roman" w:cs="Times New Roman"/>
          <w:sz w:val="28"/>
          <w:szCs w:val="28"/>
        </w:rPr>
        <w:t>97,35</w:t>
      </w:r>
      <w:r w:rsidRPr="00F37F4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что выше по</w:t>
      </w:r>
      <w:r w:rsidR="00F37F41" w:rsidRPr="00F37F41">
        <w:rPr>
          <w:rFonts w:ascii="Times New Roman" w:eastAsia="Times New Roman" w:hAnsi="Times New Roman" w:cs="Times New Roman"/>
          <w:sz w:val="28"/>
          <w:szCs w:val="28"/>
        </w:rPr>
        <w:t>казателя предыдущего года на 6,15</w:t>
      </w:r>
      <w:r w:rsidRPr="00F37F41">
        <w:rPr>
          <w:rFonts w:ascii="Times New Roman" w:eastAsia="Times New Roman" w:hAnsi="Times New Roman" w:cs="Times New Roman"/>
          <w:sz w:val="28"/>
          <w:szCs w:val="28"/>
        </w:rPr>
        <w:t xml:space="preserve"> тыс. рулей. Объем средств от приносящей доход деятельности (</w:t>
      </w:r>
      <w:r w:rsidR="00F37F41" w:rsidRPr="00F37F41">
        <w:rPr>
          <w:rFonts w:ascii="Times New Roman" w:eastAsia="Times New Roman" w:hAnsi="Times New Roman" w:cs="Times New Roman"/>
          <w:sz w:val="28"/>
          <w:szCs w:val="28"/>
        </w:rPr>
        <w:t>внебюджетных средств) составил 2,7</w:t>
      </w:r>
      <w:r w:rsidRPr="00F37F4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6103D3" w:rsidRPr="00CA2AF9" w:rsidRDefault="006103D3" w:rsidP="0061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В районе нет общеобразовательных организаций, находящихся в аварийном состоянии. В рамках мероприятий муниципальной программы Парфинского муниципального района «Развитие образования, молодежной политики и спорта в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Парфинском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</w:t>
      </w:r>
      <w:r w:rsidR="00CA2AF9" w:rsidRPr="00CA2AF9">
        <w:rPr>
          <w:rFonts w:ascii="Times New Roman" w:eastAsia="Times New Roman" w:hAnsi="Times New Roman" w:cs="Times New Roman"/>
          <w:sz w:val="28"/>
          <w:szCs w:val="28"/>
        </w:rPr>
        <w:t>районе на 2020-2025 годы» в 2021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году проведены текущие ремонтные работы. В летний период во всех образовательных организациях района проведены косметические ремонты.</w:t>
      </w:r>
      <w:r w:rsidR="00CA2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72D9" w:rsidRPr="007A72D9" w:rsidRDefault="007A72D9" w:rsidP="007A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районе охват детей от 5 до 18 лет дополнительными общеобразовательными программами составляет 45%. Сформирован сводный перечень организаций по работе с детьми и молодежью, действующих на территории района. Программы дополнительного образования художественной, физкультурно-спортивной, социально-педагогической, туристско-краеведческой и технической  направленности реализуются в МАУ ДО ЦДТ, МАУДО «ДЮСШ» п. Парфино, МБУДО ПДШИ п. Парфино.</w:t>
      </w:r>
    </w:p>
    <w:p w:rsidR="007A72D9" w:rsidRPr="007A72D9" w:rsidRDefault="007A72D9" w:rsidP="007A72D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МАУ ДО ЦДТ за отчетный период посещали 203 ребенка. В школе искусств </w:t>
      </w:r>
      <w:proofErr w:type="gramStart"/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заняты</w:t>
      </w:r>
      <w:proofErr w:type="gramEnd"/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237 человек, в детско-юношеской спортшколе – 276 детей. </w:t>
      </w:r>
    </w:p>
    <w:p w:rsidR="007A72D9" w:rsidRDefault="007A72D9" w:rsidP="007A72D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7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Педагогические  работники  организаций дополнительного образо</w:t>
      </w:r>
      <w:r w:rsidR="00887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вания (до 35 лет)</w:t>
      </w:r>
      <w:r w:rsidRPr="00887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составляют 12 %.</w:t>
      </w:r>
    </w:p>
    <w:p w:rsidR="00887EDF" w:rsidRPr="00887EDF" w:rsidRDefault="00887EDF" w:rsidP="007A72D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87EDF" w:rsidRDefault="00887EDF" w:rsidP="00887EDF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 организации дополнительного образования благоустроены и имеют систему центрального ото</w:t>
      </w:r>
      <w:r>
        <w:rPr>
          <w:rFonts w:ascii="Times New Roman" w:hAnsi="Times New Roman" w:cs="Times New Roman"/>
          <w:color w:val="000000"/>
          <w:sz w:val="28"/>
          <w:szCs w:val="28"/>
        </w:rPr>
        <w:t>пления, водопровод, канализацию, средства пожарной безопасности.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>ля учебных целей используется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 компьютеров, подключенных к сети «Интернет».</w:t>
      </w:r>
    </w:p>
    <w:p w:rsidR="00887EDF" w:rsidRDefault="00887EDF" w:rsidP="00887EDF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 Удельный вес финансовых средств от приносящей доход деятельности в общем объеме финансовых средств организации дополнительного образования составил </w:t>
      </w:r>
      <w:r>
        <w:rPr>
          <w:rFonts w:ascii="Times New Roman" w:hAnsi="Times New Roman" w:cs="Times New Roman"/>
          <w:color w:val="000000"/>
          <w:sz w:val="28"/>
          <w:szCs w:val="28"/>
        </w:rPr>
        <w:t>23 %.</w:t>
      </w:r>
    </w:p>
    <w:p w:rsidR="00887EDF" w:rsidRPr="00AA728D" w:rsidRDefault="00887EDF" w:rsidP="00887EDF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Здания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учреждений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являются аварийными и не 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требуют капитального ремонта. </w:t>
      </w:r>
    </w:p>
    <w:p w:rsidR="006103D3" w:rsidRPr="00C57CE3" w:rsidRDefault="006103D3" w:rsidP="006103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6103D3" w:rsidRPr="00C57CE3" w:rsidRDefault="006103D3" w:rsidP="006103D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и заключения</w:t>
      </w:r>
    </w:p>
    <w:p w:rsidR="006103D3" w:rsidRPr="00C57CE3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Доступность дошкольного образования обеспечивается успешным функционированием сети образовательных организаций района и позволяет на протяжении последних лет сохранять высокий охват услугами дошкольного образования детей от 3 до 7 лет. Планируется сохранить показатель на уровне 100 % и в последующие годы. </w:t>
      </w:r>
    </w:p>
    <w:p w:rsidR="006103D3" w:rsidRPr="00C57CE3" w:rsidRDefault="00C57CE3" w:rsidP="006103D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>В 2021</w:t>
      </w:r>
      <w:r w:rsidR="006103D3" w:rsidRPr="00C57CE3">
        <w:rPr>
          <w:rFonts w:ascii="Times New Roman" w:eastAsia="Times New Roman" w:hAnsi="Times New Roman" w:cs="Times New Roman"/>
          <w:sz w:val="28"/>
          <w:szCs w:val="28"/>
        </w:rPr>
        <w:t xml:space="preserve"> году общее количество мест для реализации программ дошкольного образова</w:t>
      </w:r>
      <w:r w:rsidR="00DF7B11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 564 места</w:t>
      </w:r>
      <w:r w:rsidR="006103D3" w:rsidRPr="00C57C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103D3" w:rsidRPr="00C57CE3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>На уровне школьного образования во всех общеобразовательных организациях района завершено поэтапное введение федеральных государственных об</w:t>
      </w:r>
      <w:r w:rsidR="00C57CE3" w:rsidRPr="00C57CE3">
        <w:rPr>
          <w:rFonts w:ascii="Times New Roman" w:eastAsia="Times New Roman" w:hAnsi="Times New Roman" w:cs="Times New Roman"/>
          <w:sz w:val="28"/>
          <w:szCs w:val="28"/>
        </w:rPr>
        <w:t>разовательных стандартов. В 2021</w:t>
      </w: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 году все обучающиеся начального, основного общего, среднего общего образования обучались в соответствии с федеральными государственными образовательными стандартами.</w:t>
      </w:r>
    </w:p>
    <w:p w:rsidR="006103D3" w:rsidRPr="00C57CE3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Созданные условия обучения в школах района соответствуют современным требованиям обучения. Все образовательные организации района благоустроены, школы располагают необходимыми для учеников блоками, такими как библиотеки, столовые, спортивные залы, в двух школах имеются актовые залы. В школах создана доступная среда для интеграции детей с ограниченными возможностями здоровья. Во всех школах имеется компьютерное оборудование, доступ к сети Интернет. Педагоги района активно внедряют современные технологии в образовательный процесс. </w:t>
      </w:r>
    </w:p>
    <w:p w:rsidR="006103D3" w:rsidRPr="00C57CE3" w:rsidRDefault="006103D3" w:rsidP="006103D3">
      <w:pPr>
        <w:spacing w:after="3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57CE3">
        <w:rPr>
          <w:rFonts w:ascii="Times New Roman" w:eastAsia="Times New Roman" w:hAnsi="Times New Roman" w:cs="Times New Roman"/>
          <w:sz w:val="28"/>
          <w:szCs w:val="28"/>
        </w:rPr>
        <w:t xml:space="preserve"> 2021 году в</w:t>
      </w: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 рамках федерального пр</w:t>
      </w:r>
      <w:r w:rsidR="00C57CE3" w:rsidRPr="00C57CE3">
        <w:rPr>
          <w:rFonts w:ascii="Times New Roman" w:eastAsia="Times New Roman" w:hAnsi="Times New Roman" w:cs="Times New Roman"/>
          <w:sz w:val="28"/>
          <w:szCs w:val="28"/>
        </w:rPr>
        <w:t xml:space="preserve">оекта «Современная школа» </w:t>
      </w:r>
      <w:r w:rsidR="00C57CE3">
        <w:rPr>
          <w:rFonts w:ascii="Times New Roman" w:eastAsia="Times New Roman" w:hAnsi="Times New Roman" w:cs="Times New Roman"/>
          <w:sz w:val="28"/>
          <w:szCs w:val="28"/>
        </w:rPr>
        <w:t>в двух</w:t>
      </w: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 школах района функционируют Центры </w:t>
      </w:r>
      <w:r w:rsidR="00C57CE3" w:rsidRPr="00C57CE3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="00C57CE3">
        <w:rPr>
          <w:rFonts w:ascii="Times New Roman" w:eastAsia="Times New Roman" w:hAnsi="Times New Roman" w:cs="Times New Roman"/>
          <w:sz w:val="28"/>
          <w:szCs w:val="28"/>
        </w:rPr>
        <w:t xml:space="preserve">цифрового и гуманитарного профилей </w:t>
      </w:r>
      <w:r w:rsidR="00C57CE3" w:rsidRPr="00C57CE3">
        <w:rPr>
          <w:rFonts w:ascii="Times New Roman" w:eastAsia="Times New Roman" w:hAnsi="Times New Roman" w:cs="Times New Roman"/>
          <w:sz w:val="28"/>
          <w:szCs w:val="28"/>
        </w:rPr>
        <w:t>«Точка роста»</w:t>
      </w:r>
      <w:r w:rsidR="00C57CE3">
        <w:rPr>
          <w:rFonts w:ascii="Times New Roman" w:eastAsia="Times New Roman" w:hAnsi="Times New Roman" w:cs="Times New Roman"/>
          <w:sz w:val="28"/>
          <w:szCs w:val="28"/>
        </w:rPr>
        <w:t xml:space="preserve"> (МАОУСШ п. Пола и МАОУОШ д. </w:t>
      </w:r>
      <w:proofErr w:type="spellStart"/>
      <w:r w:rsidR="00C57CE3">
        <w:rPr>
          <w:rFonts w:ascii="Times New Roman" w:eastAsia="Times New Roman" w:hAnsi="Times New Roman" w:cs="Times New Roman"/>
          <w:sz w:val="28"/>
          <w:szCs w:val="28"/>
        </w:rPr>
        <w:t>Федорково</w:t>
      </w:r>
      <w:proofErr w:type="spellEnd"/>
      <w:r w:rsidR="00C57C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DF7B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центрах  внедряются дистанционные образовательные технологии, сетевое образование, открываются </w:t>
      </w:r>
      <w:proofErr w:type="spellStart"/>
      <w:r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медиазоны</w:t>
      </w:r>
      <w:proofErr w:type="spellEnd"/>
      <w:r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C57CE3">
        <w:rPr>
          <w:rFonts w:ascii="Times New Roman" w:eastAsia="Calibri" w:hAnsi="Times New Roman" w:cs="Times New Roman"/>
          <w:sz w:val="28"/>
          <w:szCs w:val="28"/>
        </w:rPr>
        <w:t>Инфраструктура  центров «Точка роста» используется как общественное пространство для предоставления качественного образования населению района.</w:t>
      </w:r>
      <w:r w:rsidR="00C57C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11">
        <w:rPr>
          <w:rFonts w:ascii="Times New Roman" w:eastAsia="Calibri" w:hAnsi="Times New Roman" w:cs="Times New Roman"/>
          <w:sz w:val="28"/>
          <w:szCs w:val="28"/>
        </w:rPr>
        <w:t xml:space="preserve">В рамках проекта в отчетном периоде велась работа по созданию Центра </w:t>
      </w:r>
      <w:r w:rsidR="00BD400E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 w:rsidR="00DF7B11">
        <w:rPr>
          <w:rFonts w:ascii="Times New Roman" w:eastAsia="Calibri" w:hAnsi="Times New Roman" w:cs="Times New Roman"/>
          <w:sz w:val="28"/>
          <w:szCs w:val="28"/>
        </w:rPr>
        <w:t>естественнонаучной направленности в МАОУСШ п. Парфино.</w:t>
      </w:r>
    </w:p>
    <w:p w:rsidR="006103D3" w:rsidRPr="002D227F" w:rsidRDefault="00C57CE3" w:rsidP="006103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школы района принимают </w:t>
      </w:r>
      <w:r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региональном проекте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DF7B11">
        <w:rPr>
          <w:rFonts w:ascii="Times New Roman" w:hAnsi="Times New Roman" w:cs="Times New Roman"/>
          <w:color w:val="000000" w:themeColor="text1"/>
          <w:sz w:val="28"/>
          <w:szCs w:val="28"/>
        </w:rPr>
        <w:t>ифровая образовательная среда». Активно используется и функционирует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компьютерное</w:t>
      </w:r>
      <w:r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>, мультимедийное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оборудование, о</w:t>
      </w:r>
      <w:r w:rsidR="00DF7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рганизовано обучение педагогов. В школе п. Пола в 2021 году также проведена работа по </w:t>
      </w:r>
      <w:r w:rsidR="00DF7B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подготовке к реализации данного проекта, что позволит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получить свободный доступ к безопасной цифровой образовательной инфраструктуре, возможности электро</w:t>
      </w:r>
      <w:r w:rsidR="00DF7B11">
        <w:rPr>
          <w:rFonts w:ascii="Times New Roman" w:hAnsi="Times New Roman" w:cs="Times New Roman"/>
          <w:color w:val="000000" w:themeColor="text1"/>
          <w:sz w:val="28"/>
          <w:szCs w:val="28"/>
        </w:rPr>
        <w:t>нного образования и обеспечит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потребность молодежи к саморазвитию и самообразованию. </w:t>
      </w:r>
    </w:p>
    <w:p w:rsidR="00C57CE3" w:rsidRPr="00DF7B11" w:rsidRDefault="006103D3" w:rsidP="006103D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B11">
        <w:rPr>
          <w:rFonts w:ascii="Times New Roman" w:eastAsia="Times New Roman" w:hAnsi="Times New Roman" w:cs="Times New Roman"/>
          <w:sz w:val="28"/>
          <w:szCs w:val="28"/>
        </w:rPr>
        <w:t>Педагогический состав района на протяжении последних лет остается стабильным. С целью привлечения и закрепления молодых специалистов в районе проводится работа по заключению договоров о целевом приеме выпускников, осуществляется мониторинг выпускников, поступающих на педагогические специальности, разработаны мероприятия по материальному стимулированию молодых специалист</w:t>
      </w:r>
      <w:r w:rsidR="00C57CE3" w:rsidRPr="00DF7B11">
        <w:rPr>
          <w:rFonts w:ascii="Times New Roman" w:eastAsia="Times New Roman" w:hAnsi="Times New Roman" w:cs="Times New Roman"/>
          <w:sz w:val="28"/>
          <w:szCs w:val="28"/>
        </w:rPr>
        <w:t xml:space="preserve">ов, реализуется наставничество. Обучающиеся 8-11 классов участвуют в региональных проектах «Билет в будущее», «Моя первая профессия», получают свидетельства о профессии уже на уровне общего образования. </w:t>
      </w:r>
    </w:p>
    <w:p w:rsidR="006103D3" w:rsidRPr="00DF7B11" w:rsidRDefault="006103D3" w:rsidP="006103D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B11">
        <w:rPr>
          <w:rFonts w:ascii="Times New Roman" w:eastAsia="Times New Roman" w:hAnsi="Times New Roman" w:cs="Times New Roman"/>
          <w:sz w:val="28"/>
          <w:szCs w:val="28"/>
        </w:rPr>
        <w:t>Планируется продолжить работу по увеличению числа молодых специалистов в образовательных организациях района.</w:t>
      </w:r>
    </w:p>
    <w:p w:rsidR="006103D3" w:rsidRPr="00DF7B11" w:rsidRDefault="006103D3" w:rsidP="006103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DF7B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Одной из приоритетных задач современного образования является выявление, поддержка, развитие и социализация одарённых детей. Система дополнительного образования района представлена учреждениями центра детского творчества, детско-юношеской спортивной школы, учреждениями культуры. </w:t>
      </w:r>
      <w:r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Большое внимание в районе уделяется развитию спортивной инфраструктуры, привлечению населения к занятиям физической культурой и спортом. </w:t>
      </w:r>
    </w:p>
    <w:p w:rsidR="006103D3" w:rsidRPr="00420211" w:rsidRDefault="00C57CE3" w:rsidP="006103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 2021/2022 учебном году велась работа по созданию 97 мест дополнительного образования детей на базе МАОУСШ п. Парфино и МАУ ДО ЦДТ в рамках федерального п</w:t>
      </w:r>
      <w:r w:rsidR="00BD4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роекта «Успех каждого ребенка».</w:t>
      </w:r>
      <w:r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DF7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Через данный проект</w:t>
      </w:r>
      <w:r w:rsidR="006103D3" w:rsidRPr="00DF7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продолжится внедрение модели персонифицированного финансирования дополнительного образования детей. Целью проектной инициативы является формирование эффективной системы выявления, поддержки и развития способностей и талантов у детей и молодежи.</w:t>
      </w:r>
      <w:r w:rsidR="006103D3" w:rsidRPr="00420211">
        <w:rPr>
          <w:sz w:val="28"/>
          <w:szCs w:val="28"/>
        </w:rPr>
        <w:t xml:space="preserve"> </w:t>
      </w:r>
    </w:p>
    <w:p w:rsidR="006103D3" w:rsidRPr="00276A12" w:rsidRDefault="006103D3" w:rsidP="00610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76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103D3" w:rsidRDefault="006103D3" w:rsidP="006103D3"/>
    <w:p w:rsidR="0083579A" w:rsidRDefault="0083579A"/>
    <w:sectPr w:rsidR="0083579A" w:rsidSect="004202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2E40"/>
    <w:multiLevelType w:val="hybridMultilevel"/>
    <w:tmpl w:val="C436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391C48"/>
    <w:multiLevelType w:val="hybridMultilevel"/>
    <w:tmpl w:val="9DF412E2"/>
    <w:lvl w:ilvl="0" w:tplc="358216A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D3"/>
    <w:rsid w:val="002D227F"/>
    <w:rsid w:val="006103D3"/>
    <w:rsid w:val="00617185"/>
    <w:rsid w:val="006C3228"/>
    <w:rsid w:val="007A72D9"/>
    <w:rsid w:val="0083579A"/>
    <w:rsid w:val="00887EDF"/>
    <w:rsid w:val="009F70FC"/>
    <w:rsid w:val="00B02F59"/>
    <w:rsid w:val="00B10143"/>
    <w:rsid w:val="00B731DD"/>
    <w:rsid w:val="00BD400E"/>
    <w:rsid w:val="00C57CE3"/>
    <w:rsid w:val="00CA2AF9"/>
    <w:rsid w:val="00DF7B11"/>
    <w:rsid w:val="00F3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vron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10</cp:revision>
  <cp:lastPrinted>2022-10-25T06:19:00Z</cp:lastPrinted>
  <dcterms:created xsi:type="dcterms:W3CDTF">2022-10-19T09:11:00Z</dcterms:created>
  <dcterms:modified xsi:type="dcterms:W3CDTF">2022-10-25T06:19:00Z</dcterms:modified>
</cp:coreProperties>
</file>