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1" w:rsidRPr="000004D0" w:rsidRDefault="00FC738D" w:rsidP="000004D0">
      <w:pPr>
        <w:pStyle w:val="3"/>
        <w:framePr w:w="10234" w:h="1181" w:hRule="exact" w:wrap="none" w:vAnchor="page" w:hAnchor="page" w:x="842" w:y="1288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0004D0">
        <w:rPr>
          <w:sz w:val="28"/>
          <w:szCs w:val="28"/>
        </w:rPr>
        <w:t>Приложение № 1</w:t>
      </w:r>
    </w:p>
    <w:p w:rsidR="000004D0" w:rsidRDefault="000004D0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</w:p>
    <w:p w:rsidR="00DF1091" w:rsidRPr="000004D0" w:rsidRDefault="00FC738D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>ПОКАЗАТЕЛИ МОНИТОРИНГА СИСТЕМЫ ОБРАЗОВАНИЯ</w:t>
      </w:r>
    </w:p>
    <w:p w:rsidR="00A2308C" w:rsidRPr="000004D0" w:rsidRDefault="00A2308C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 xml:space="preserve">Парфинского </w:t>
      </w:r>
      <w:r w:rsidR="000004D0" w:rsidRPr="000004D0">
        <w:rPr>
          <w:sz w:val="28"/>
          <w:szCs w:val="28"/>
        </w:rP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Раздел/подраздел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/показатель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Единица измерения/ форма оценки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964814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964814">
              <w:rPr>
                <w:rStyle w:val="1"/>
                <w:b/>
                <w:sz w:val="28"/>
                <w:szCs w:val="28"/>
              </w:rPr>
              <w:t>I.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 </w:t>
            </w:r>
            <w:r w:rsidRPr="00B05E57">
              <w:rPr>
                <w:rStyle w:val="1"/>
                <w:sz w:val="28"/>
                <w:szCs w:val="28"/>
              </w:rPr>
              <w:t>Сведения о развитии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375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1.1.1.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framePr w:w="10224" w:h="12888" w:wrap="none" w:vAnchor="page" w:hAnchor="page" w:x="846" w:y="2499"/>
              <w:spacing w:line="240" w:lineRule="exact"/>
              <w:rPr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6E1198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83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6E1198" w:rsidP="00166974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5</w:t>
            </w:r>
            <w:r w:rsidR="00166974">
              <w:rPr>
                <w:rStyle w:val="1"/>
                <w:color w:val="auto"/>
                <w:sz w:val="28"/>
                <w:szCs w:val="28"/>
              </w:rPr>
              <w:t>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54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91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7D5BD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7D5BD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2A30AB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2A30AB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A30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D41" w:rsidRPr="00C85D41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C85D4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C85D4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5D0A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,5</w:t>
            </w: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C85D41" w:rsidRPr="00C85D41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C85D41" w:rsidP="005D0AA4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5D0A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6,3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C85D41" w:rsidRPr="00C85D41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DF1091" w:rsidRPr="00D779A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D779A0">
        <w:rPr>
          <w:color w:val="auto"/>
          <w:sz w:val="28"/>
          <w:szCs w:val="28"/>
        </w:rPr>
        <w:t>О направлении информации - 02</w:t>
      </w:r>
    </w:p>
    <w:p w:rsidR="00DF1091" w:rsidRPr="00D779A0" w:rsidRDefault="00DF1091" w:rsidP="000004D0">
      <w:pPr>
        <w:spacing w:line="240" w:lineRule="exact"/>
        <w:rPr>
          <w:color w:val="auto"/>
          <w:sz w:val="28"/>
          <w:szCs w:val="28"/>
        </w:rPr>
        <w:sectPr w:rsidR="00DF1091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C85D41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color w:val="00B050"/>
          <w:sz w:val="28"/>
          <w:szCs w:val="28"/>
        </w:rPr>
      </w:pPr>
      <w:r w:rsidRPr="00C85D41">
        <w:rPr>
          <w:color w:val="00B050"/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C85D41" w:rsidRPr="00C85D41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C85D41" w:rsidP="005D0AA4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</w:t>
            </w:r>
            <w:r w:rsidR="005D0AA4">
              <w:rPr>
                <w:rStyle w:val="1"/>
                <w:color w:val="auto"/>
                <w:sz w:val="28"/>
                <w:szCs w:val="28"/>
              </w:rPr>
              <w:t>7,2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01836">
              <w:rPr>
                <w:rStyle w:val="1"/>
                <w:color w:val="000000" w:themeColor="text1"/>
                <w:sz w:val="28"/>
                <w:szCs w:val="28"/>
              </w:rPr>
              <w:t>12</w:t>
            </w:r>
            <w:r w:rsidR="00901836" w:rsidRPr="00901836">
              <w:rPr>
                <w:rStyle w:val="1"/>
                <w:color w:val="000000" w:themeColor="text1"/>
                <w:sz w:val="28"/>
                <w:szCs w:val="28"/>
              </w:rPr>
              <w:t>,9</w:t>
            </w:r>
          </w:p>
        </w:tc>
      </w:tr>
      <w:tr w:rsidR="007D5BD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901836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>
              <w:rPr>
                <w:rStyle w:val="1"/>
                <w:color w:val="auto"/>
                <w:sz w:val="28"/>
                <w:szCs w:val="28"/>
              </w:rPr>
              <w:t>79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старшие 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901836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>
              <w:rPr>
                <w:rStyle w:val="1"/>
                <w:color w:val="auto"/>
                <w:sz w:val="28"/>
                <w:szCs w:val="28"/>
              </w:rPr>
              <w:t>10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5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66D7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D66D70">
              <w:rPr>
                <w:rStyle w:val="1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66D70" w:rsidRDefault="00D66D70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B050"/>
                <w:sz w:val="28"/>
                <w:szCs w:val="28"/>
              </w:rPr>
            </w:pPr>
            <w:r w:rsidRPr="00D66D70">
              <w:rPr>
                <w:rStyle w:val="1"/>
                <w:color w:val="auto"/>
                <w:sz w:val="28"/>
                <w:szCs w:val="28"/>
              </w:rPr>
              <w:t>109,2</w:t>
            </w:r>
            <w:r w:rsidR="0034738B" w:rsidRPr="00D66D70">
              <w:rPr>
                <w:rStyle w:val="1"/>
                <w:color w:val="auto"/>
                <w:sz w:val="28"/>
                <w:szCs w:val="28"/>
              </w:rPr>
              <w:t xml:space="preserve"> </w:t>
            </w:r>
            <w:r w:rsidR="007D5BD1" w:rsidRPr="00D66D7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 Материально-техническое и информационное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2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 w:rsidTr="008F7DFF">
        <w:trPr>
          <w:trHeight w:hRule="exact" w:val="89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11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88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84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66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 w:rsidTr="008F7DFF">
        <w:trPr>
          <w:trHeight w:hRule="exact" w:val="136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86491E" w:rsidP="006A711E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>
              <w:rPr>
                <w:rStyle w:val="1"/>
                <w:color w:val="auto"/>
                <w:sz w:val="28"/>
                <w:szCs w:val="28"/>
              </w:rPr>
              <w:t>20,9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 w:rsidTr="008F7DFF">
        <w:trPr>
          <w:trHeight w:hRule="exact" w:val="128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8E418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0,</w:t>
            </w:r>
            <w:r w:rsidR="008E4180" w:rsidRPr="00D779A0">
              <w:rPr>
                <w:rStyle w:val="1"/>
                <w:color w:val="auto"/>
                <w:sz w:val="28"/>
                <w:szCs w:val="28"/>
              </w:rPr>
              <w:t>7</w:t>
            </w:r>
            <w:r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 w:rsidTr="008F7DFF">
        <w:trPr>
          <w:trHeight w:hRule="exact" w:val="14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174" w:wrap="none" w:vAnchor="page" w:hAnchor="page" w:x="846" w:y="1251"/>
              <w:spacing w:line="240" w:lineRule="exact"/>
              <w:rPr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4D74FF" w:rsidRPr="004D74FF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4D74FF" w:rsidP="006852E6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4</w:t>
            </w:r>
            <w:r w:rsidR="006852E6">
              <w:rPr>
                <w:rStyle w:val="1"/>
                <w:color w:val="auto"/>
                <w:sz w:val="28"/>
                <w:szCs w:val="28"/>
              </w:rPr>
              <w:t>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</w:tbl>
    <w:p w:rsidR="00DF1091" w:rsidRPr="00D779A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4D74FF">
        <w:rPr>
          <w:color w:val="00B050"/>
          <w:sz w:val="28"/>
          <w:szCs w:val="28"/>
        </w:rPr>
        <w:t xml:space="preserve">О </w:t>
      </w:r>
      <w:r w:rsidRPr="00D779A0">
        <w:rPr>
          <w:color w:val="auto"/>
          <w:sz w:val="28"/>
          <w:szCs w:val="28"/>
        </w:rPr>
        <w:t>направлении информации - 02</w:t>
      </w:r>
    </w:p>
    <w:p w:rsidR="00DF1091" w:rsidRPr="00D779A0" w:rsidRDefault="00DF1091" w:rsidP="000004D0">
      <w:pPr>
        <w:spacing w:line="240" w:lineRule="exact"/>
        <w:rPr>
          <w:color w:val="auto"/>
          <w:sz w:val="28"/>
          <w:szCs w:val="28"/>
        </w:rPr>
        <w:sectPr w:rsidR="00DF1091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D779A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D779A0">
        <w:rPr>
          <w:color w:val="auto"/>
          <w:sz w:val="28"/>
          <w:szCs w:val="28"/>
        </w:rP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D74FF" w:rsidRPr="00D779A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6852E6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6852E6" w:rsidP="008E4180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8E4180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 w:rsidTr="00672DB6">
        <w:trPr>
          <w:trHeight w:hRule="exact" w:val="63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75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 w:rsidTr="008F7DFF">
        <w:trPr>
          <w:trHeight w:hRule="exact" w:val="169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112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 w:rsidTr="008F7DFF">
        <w:trPr>
          <w:trHeight w:hRule="exact" w:val="128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7833C6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11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99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D66D7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D66D70">
              <w:rPr>
                <w:rStyle w:val="1"/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D66D70" w:rsidRDefault="007833C6" w:rsidP="0034738B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color w:val="000000" w:themeColor="text1"/>
                <w:sz w:val="28"/>
                <w:szCs w:val="28"/>
              </w:rPr>
            </w:pPr>
            <w:r w:rsidRPr="00D66D70">
              <w:rPr>
                <w:rStyle w:val="1"/>
                <w:color w:val="000000" w:themeColor="text1"/>
                <w:sz w:val="28"/>
                <w:szCs w:val="28"/>
              </w:rPr>
              <w:t xml:space="preserve"> </w:t>
            </w:r>
            <w:r w:rsidR="00D66D70" w:rsidRPr="00D66D70">
              <w:rPr>
                <w:rStyle w:val="1"/>
                <w:color w:val="auto"/>
                <w:sz w:val="28"/>
                <w:szCs w:val="28"/>
              </w:rPr>
              <w:t>146,1</w:t>
            </w:r>
            <w:r w:rsidR="00FC738D" w:rsidRPr="00D66D70">
              <w:rPr>
                <w:rStyle w:val="1"/>
                <w:color w:val="auto"/>
                <w:sz w:val="28"/>
                <w:szCs w:val="28"/>
              </w:rPr>
              <w:t>тыс</w:t>
            </w:r>
            <w:r w:rsidR="00F50F2E" w:rsidRPr="00D66D70">
              <w:rPr>
                <w:rStyle w:val="1"/>
                <w:color w:val="auto"/>
                <w:sz w:val="28"/>
                <w:szCs w:val="28"/>
              </w:rPr>
              <w:t>.</w:t>
            </w:r>
            <w:r w:rsidR="00FC738D" w:rsidRPr="00D66D70">
              <w:rPr>
                <w:rStyle w:val="1"/>
                <w:color w:val="auto"/>
                <w:sz w:val="28"/>
                <w:szCs w:val="28"/>
              </w:rPr>
              <w:t xml:space="preserve"> руб</w:t>
            </w:r>
            <w:r w:rsidR="00F50F2E" w:rsidRPr="00D66D70">
              <w:rPr>
                <w:rStyle w:val="1"/>
                <w:color w:val="auto"/>
                <w:sz w:val="28"/>
                <w:szCs w:val="28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8F7DFF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B0C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8F7DFF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54EE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9,2</w:t>
            </w:r>
            <w:r w:rsidR="004F5301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продолживших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54E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13,2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54E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15,05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54E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6,5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72B2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3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C3995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2,5</w:t>
            </w:r>
            <w:r w:rsidR="00135C1E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B6D6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C399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328CD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C399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10,4</w:t>
            </w:r>
            <w:r w:rsidR="00FF6602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C399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6,8</w:t>
            </w:r>
            <w:r w:rsidR="00FF6602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D66D7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66D70">
              <w:rPr>
                <w:rStyle w:val="1"/>
                <w:color w:val="auto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D66D70" w:rsidRDefault="00D66D7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66D70">
              <w:rPr>
                <w:rStyle w:val="1"/>
                <w:color w:val="auto"/>
                <w:sz w:val="28"/>
                <w:szCs w:val="28"/>
              </w:rPr>
              <w:t>105</w:t>
            </w:r>
            <w:r w:rsidR="007833C6" w:rsidRPr="00D66D70">
              <w:rPr>
                <w:rStyle w:val="1"/>
                <w:color w:val="auto"/>
                <w:sz w:val="28"/>
                <w:szCs w:val="28"/>
              </w:rPr>
              <w:t>,3</w:t>
            </w:r>
            <w:r w:rsidR="00110CDE" w:rsidRPr="00D66D7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F6602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61,3</w:t>
            </w:r>
            <w:r w:rsidR="00E03022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C76170">
        <w:trPr>
          <w:trHeight w:hRule="exact" w:val="23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в-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социальных педагогов: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педагогов-психологов: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учителей-логопедов: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A55D9" w:rsidP="00396C3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4,74</w:t>
            </w:r>
            <w:r w:rsidR="00EE5E50" w:rsidRPr="000004D0">
              <w:rPr>
                <w:rStyle w:val="1"/>
                <w:sz w:val="28"/>
                <w:szCs w:val="28"/>
              </w:rPr>
              <w:t xml:space="preserve"> м</w:t>
            </w:r>
            <w:proofErr w:type="gramStart"/>
            <w:r w:rsidR="00EE5E50" w:rsidRPr="000004D0">
              <w:rPr>
                <w:rStyle w:val="1"/>
                <w:sz w:val="28"/>
                <w:szCs w:val="28"/>
              </w:rPr>
              <w:t>2</w:t>
            </w:r>
            <w:proofErr w:type="gramEnd"/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2.4.2.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03A5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A506C2">
        <w:trPr>
          <w:trHeight w:hRule="exact" w:val="85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46D7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16,9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46D7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16,9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77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9D6FCF" w:rsidRDefault="00795DC7" w:rsidP="00795DC7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  <w:lang w:val="en-US"/>
              </w:rPr>
            </w:pPr>
            <w:r>
              <w:rPr>
                <w:rStyle w:val="1"/>
                <w:sz w:val="28"/>
                <w:szCs w:val="28"/>
              </w:rPr>
              <w:t>22,8</w:t>
            </w:r>
            <w:r w:rsidR="00775146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46D7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20,4</w:t>
            </w:r>
            <w:r w:rsidR="000B250A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формате совместного обучения (инклюзии)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95DC7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77</w:t>
            </w:r>
            <w:r w:rsidR="00A46D72">
              <w:rPr>
                <w:rStyle w:val="1"/>
                <w:sz w:val="28"/>
                <w:szCs w:val="28"/>
              </w:rPr>
              <w:t>,2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95DC7" w:rsidP="00240AC9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21,7</w:t>
            </w:r>
            <w:r w:rsidR="00240AC9" w:rsidRPr="000004D0">
              <w:rPr>
                <w:rStyle w:val="1"/>
                <w:sz w:val="28"/>
                <w:szCs w:val="28"/>
              </w:rPr>
              <w:t xml:space="preserve"> 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104C62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9A12FC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92398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92398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тьюторы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2.5.6. Численность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A4D15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66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педагога-психолога;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6D746C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</w:rPr>
              <w:t>66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тьютора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05C9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глухих;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для слабослышащих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поздноглохших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слепых;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слабовидящих;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  <w:r w:rsidR="00240AC9">
              <w:rPr>
                <w:sz w:val="28"/>
                <w:szCs w:val="28"/>
              </w:rPr>
              <w:t>,9%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40AC9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  <w:r w:rsidR="0060083E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40AC9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</w:t>
            </w:r>
            <w:r w:rsidR="00D779A0">
              <w:rPr>
                <w:sz w:val="28"/>
                <w:szCs w:val="28"/>
              </w:rPr>
              <w:t>4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сложными дефектами;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40AC9" w:rsidP="00240AC9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40AC9" w:rsidP="00D779A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здоровьесберегающие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51F9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4738B" w:rsidRDefault="0034738B" w:rsidP="0034738B">
      <w:pPr>
        <w:pStyle w:val="a6"/>
        <w:framePr w:wrap="none" w:vAnchor="page" w:hAnchor="page" w:x="832" w:y="15939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10064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37"/>
        <w:gridCol w:w="2514"/>
      </w:tblGrid>
      <w:tr w:rsidR="007833C6" w:rsidRPr="007833C6" w:rsidTr="007833C6">
        <w:trPr>
          <w:trHeight w:hRule="exact" w:val="151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833C6" w:rsidRPr="007833C6" w:rsidTr="007833C6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D66D70" w:rsidRDefault="007833C6" w:rsidP="007833C6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D66D70" w:rsidRDefault="00D66D70" w:rsidP="007833C6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   120,4</w:t>
            </w:r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</w:t>
            </w:r>
            <w:proofErr w:type="spellStart"/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тыс</w:t>
            </w:r>
            <w:proofErr w:type="gramStart"/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.р</w:t>
            </w:r>
            <w:proofErr w:type="gramEnd"/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уб</w:t>
            </w:r>
            <w:proofErr w:type="spellEnd"/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D66D70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D66D70" w:rsidRDefault="00473640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  <w:r w:rsidR="00D66D70" w:rsidRP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7,4</w:t>
            </w:r>
            <w:r w:rsid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%</w:t>
            </w:r>
          </w:p>
        </w:tc>
      </w:tr>
      <w:tr w:rsidR="007833C6" w:rsidRPr="007833C6" w:rsidTr="007833C6">
        <w:trPr>
          <w:trHeight w:hRule="exact" w:val="859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93B27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240AC9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</w:tbl>
    <w:p w:rsidR="00DF1091" w:rsidRPr="0034738B" w:rsidRDefault="00DF1091" w:rsidP="0034738B">
      <w:pPr>
        <w:rPr>
          <w:sz w:val="28"/>
          <w:szCs w:val="28"/>
        </w:rPr>
        <w:sectPr w:rsidR="00DF1091" w:rsidRPr="0034738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DF54EE">
        <w:trPr>
          <w:trHeight w:hRule="exact" w:val="578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III. Дополнительное образование</w:t>
            </w:r>
          </w:p>
        </w:tc>
      </w:tr>
      <w:tr w:rsidR="004543F6" w:rsidRPr="00D779A0" w:rsidTr="00DF54EE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</w:t>
            </w:r>
          </w:p>
        </w:tc>
      </w:tr>
      <w:tr w:rsidR="004543F6" w:rsidRPr="00D779A0" w:rsidTr="00DF54EE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4.1.2. Структура численности детей, обучающихся по дополнительным общеобразовательным программам, по направлениям</w:t>
            </w:r>
            <w:hyperlink w:anchor="bookmark0" w:tooltip="Current Document">
              <w:r w:rsidRPr="00D779A0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&lt;*&gt;: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3F6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техническое;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5,1%</w:t>
            </w:r>
          </w:p>
        </w:tc>
      </w:tr>
      <w:tr w:rsidR="004543F6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естественнонаучное;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543F6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туристско-краеведческое;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5,4%</w:t>
            </w:r>
          </w:p>
        </w:tc>
      </w:tr>
      <w:tr w:rsidR="004543F6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социально-педагогическое;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6,1</w:t>
            </w:r>
          </w:p>
        </w:tc>
      </w:tr>
      <w:tr w:rsidR="004543F6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области искусств: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3F6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20,8%</w:t>
            </w:r>
          </w:p>
        </w:tc>
      </w:tr>
      <w:tr w:rsidR="004543F6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предпрофессиональным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9,88%</w:t>
            </w:r>
          </w:p>
        </w:tc>
      </w:tr>
      <w:tr w:rsidR="004543F6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области физической культуры и спорта: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43F6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3F6" w:rsidRPr="00D779A0" w:rsidRDefault="004543F6" w:rsidP="004543F6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F6" w:rsidRPr="004543F6" w:rsidRDefault="004543F6" w:rsidP="004543F6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9.8%</w:t>
            </w:r>
          </w:p>
        </w:tc>
      </w:tr>
      <w:tr w:rsidR="00D779A0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предпрофессиональным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9A0" w:rsidRPr="00D779A0" w:rsidTr="00DF54EE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9A0" w:rsidRPr="00D779A0" w:rsidTr="00DF54EE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779A0" w:rsidRPr="00D779A0" w:rsidRDefault="00D779A0" w:rsidP="00D779A0">
      <w:pPr>
        <w:framePr w:wrap="none" w:vAnchor="page" w:hAnchor="page" w:x="832" w:y="15939"/>
        <w:spacing w:line="240" w:lineRule="exact"/>
        <w:ind w:left="2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 направлении информации - 02</w:t>
      </w:r>
    </w:p>
    <w:p w:rsidR="00D779A0" w:rsidRPr="00D779A0" w:rsidRDefault="00D779A0" w:rsidP="00D779A0">
      <w:pPr>
        <w:spacing w:line="240" w:lineRule="exact"/>
        <w:rPr>
          <w:sz w:val="28"/>
          <w:szCs w:val="28"/>
        </w:rPr>
        <w:sectPr w:rsidR="00D779A0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79A0" w:rsidRPr="00D779A0" w:rsidRDefault="00D779A0" w:rsidP="00D779A0">
      <w:pPr>
        <w:framePr w:wrap="none" w:vAnchor="page" w:hAnchor="page" w:x="5834" w:y="710"/>
        <w:spacing w:line="240" w:lineRule="exact"/>
        <w:ind w:left="20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DF54EE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4.2.3. Удельный вес численности детей-инвалидов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D779A0" w:rsidRPr="00D779A0" w:rsidTr="00DF54EE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78%</w:t>
            </w:r>
          </w:p>
        </w:tc>
      </w:tr>
      <w:tr w:rsidR="00D779A0" w:rsidRPr="00D779A0" w:rsidTr="00DF54EE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91,6%</w:t>
            </w:r>
          </w:p>
        </w:tc>
      </w:tr>
      <w:tr w:rsidR="00D779A0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внешние совместители.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D779A0" w:rsidRPr="00D779A0" w:rsidTr="00DF54EE">
        <w:trPr>
          <w:trHeight w:hRule="exact" w:val="37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4.3.3.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70,8%</w:t>
            </w:r>
          </w:p>
        </w:tc>
      </w:tr>
      <w:tr w:rsidR="00D779A0" w:rsidRPr="00D779A0" w:rsidTr="00DF54EE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8,3%</w:t>
            </w:r>
          </w:p>
        </w:tc>
      </w:tr>
    </w:tbl>
    <w:p w:rsidR="00D779A0" w:rsidRPr="00D779A0" w:rsidRDefault="00D779A0" w:rsidP="00D779A0">
      <w:pPr>
        <w:framePr w:wrap="none" w:vAnchor="page" w:hAnchor="page" w:x="832" w:y="15939"/>
        <w:spacing w:line="240" w:lineRule="exact"/>
        <w:ind w:left="2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 направлении информации - 02</w:t>
      </w: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  <w:sectPr w:rsidR="00D779A0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79A0" w:rsidRPr="00D779A0" w:rsidRDefault="00D779A0" w:rsidP="00D779A0">
      <w:pPr>
        <w:framePr w:wrap="none" w:vAnchor="page" w:hAnchor="page" w:x="5834" w:y="710"/>
        <w:spacing w:line="240" w:lineRule="exact"/>
        <w:ind w:left="20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lastRenderedPageBreak/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DF54EE">
        <w:trPr>
          <w:trHeight w:hRule="exact" w:val="7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4.4. Материально-техническое и информационное обеспечение организаций, осуществл</w:t>
            </w:r>
            <w:bookmarkStart w:id="0" w:name="_GoBack"/>
            <w:bookmarkEnd w:id="0"/>
            <w:r w:rsidRPr="00D77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18769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водопровод;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канализацию;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пожарную сигнализацию;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дымовые </w:t>
            </w:r>
            <w:proofErr w:type="spellStart"/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пожарные краны и рукава;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«тревожную кнопку».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779A0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имеющих доступ к информационно-телекоммуникационной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779A0" w:rsidRPr="00D779A0" w:rsidTr="00DF54EE">
        <w:trPr>
          <w:trHeight w:hRule="exact" w:val="40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tbl>
      <w:tblPr>
        <w:tblW w:w="10206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2"/>
        <w:gridCol w:w="2514"/>
      </w:tblGrid>
      <w:tr w:rsidR="00D779A0" w:rsidRPr="00D779A0" w:rsidTr="00DF54EE">
        <w:trPr>
          <w:trHeight w:hRule="exact" w:val="118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D779A0" w:rsidRPr="00D779A0" w:rsidTr="00DF54EE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D779A0" w:rsidRPr="00D779A0" w:rsidTr="00DF54EE">
        <w:trPr>
          <w:trHeight w:hRule="exact" w:val="150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66D7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D66D7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18,7 </w:t>
            </w: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тыс. руб.</w:t>
            </w:r>
          </w:p>
        </w:tc>
      </w:tr>
      <w:tr w:rsidR="00D779A0" w:rsidRPr="00D779A0" w:rsidTr="00DF54EE">
        <w:trPr>
          <w:trHeight w:hRule="exact" w:val="182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66D7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</w:t>
            </w:r>
            <w:r w:rsidR="00D66D7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17</w:t>
            </w: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%</w:t>
            </w:r>
          </w:p>
        </w:tc>
      </w:tr>
      <w:tr w:rsidR="00D779A0" w:rsidRPr="00D779A0" w:rsidTr="00DF54EE">
        <w:trPr>
          <w:trHeight w:hRule="exact" w:val="85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66D70" w:rsidRDefault="00D779A0" w:rsidP="00D779A0">
            <w:pPr>
              <w:rPr>
                <w:rFonts w:ascii="Arial Unicode MS" w:eastAsia="Arial Unicode MS" w:hAnsi="Arial Unicode MS" w:cs="Arial Unicode MS"/>
                <w:color w:val="auto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66D7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   100   %</w:t>
            </w:r>
          </w:p>
        </w:tc>
      </w:tr>
      <w:tr w:rsidR="00D779A0" w:rsidRPr="00D779A0" w:rsidTr="00DF54EE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средства, поступившие от иной приносящей доход деятельности.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66D7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     </w:t>
            </w:r>
            <w:r w:rsidR="00D66D7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17</w:t>
            </w: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 %</w:t>
            </w:r>
          </w:p>
        </w:tc>
      </w:tr>
      <w:tr w:rsidR="00D779A0" w:rsidRPr="00D779A0" w:rsidTr="00DF54EE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D779A0" w:rsidRPr="00D779A0" w:rsidTr="00DF54EE">
        <w:trPr>
          <w:trHeight w:hRule="exact" w:val="214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66,6%</w:t>
            </w:r>
          </w:p>
        </w:tc>
      </w:tr>
      <w:tr w:rsidR="00D779A0" w:rsidRPr="00D779A0" w:rsidTr="00DF54EE">
        <w:trPr>
          <w:trHeight w:hRule="exact" w:val="11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D779A0" w:rsidRPr="00D779A0" w:rsidTr="00DF54EE">
        <w:trPr>
          <w:trHeight w:hRule="exact" w:val="151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0%</w:t>
            </w: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0"/>
        <w:gridCol w:w="2674"/>
      </w:tblGrid>
      <w:tr w:rsidR="00D779A0" w:rsidRPr="00D779A0" w:rsidTr="00DF54EE">
        <w:trPr>
          <w:trHeight w:hRule="exact" w:val="542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182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  </w:t>
            </w: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0%</w:t>
            </w:r>
          </w:p>
        </w:tc>
      </w:tr>
      <w:tr w:rsidR="00D779A0" w:rsidRPr="00D779A0" w:rsidTr="00DF54EE">
        <w:trPr>
          <w:trHeight w:hRule="exact" w:val="461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 Учебные и </w:t>
            </w:r>
            <w:proofErr w:type="spell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внеучебные</w:t>
            </w:r>
            <w:proofErr w:type="spell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достижения лиц, обучающихся по программам</w:t>
            </w:r>
          </w:p>
        </w:tc>
      </w:tr>
      <w:tr w:rsidR="00D779A0" w:rsidRPr="00D779A0" w:rsidTr="00DF54EE">
        <w:trPr>
          <w:trHeight w:hRule="exact" w:val="394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 образования детей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14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4.9.1.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</w:t>
            </w:r>
            <w:proofErr w:type="gramEnd"/>
          </w:p>
        </w:tc>
      </w:tr>
      <w:tr w:rsidR="00D779A0" w:rsidRPr="00D779A0" w:rsidTr="00DF54EE">
        <w:trPr>
          <w:trHeight w:hRule="exact" w:val="336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программам,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отметивших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различные результаты обучения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их детей,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общей</w:t>
            </w:r>
          </w:p>
        </w:tc>
      </w:tr>
      <w:tr w:rsidR="00D779A0" w:rsidRPr="00D779A0" w:rsidTr="00DF54EE">
        <w:trPr>
          <w:trHeight w:hRule="exact" w:val="293"/>
        </w:trPr>
        <w:tc>
          <w:tcPr>
            <w:tcW w:w="102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численности родителей детей, обучающихся в организациях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</w:t>
            </w:r>
            <w:proofErr w:type="gramEnd"/>
          </w:p>
        </w:tc>
      </w:tr>
      <w:tr w:rsidR="00D779A0" w:rsidRPr="00D779A0" w:rsidTr="00DF54EE">
        <w:trPr>
          <w:trHeight w:hRule="exact" w:val="408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образования):</w:t>
            </w:r>
            <w:hyperlink w:anchor="bookmark0" w:tooltip="Current Document">
              <w:r w:rsidRPr="00D779A0">
                <w:rPr>
                  <w:rFonts w:ascii="Times New Roman" w:eastAsia="Times New Roman" w:hAnsi="Times New Roman" w:cs="Times New Roman"/>
                  <w:sz w:val="28"/>
                  <w:szCs w:val="28"/>
                  <w:lang w:bidi="ru-RU"/>
                </w:rPr>
                <w:t>&lt;**&gt;</w:t>
              </w:r>
            </w:hyperlink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92%</w:t>
            </w:r>
          </w:p>
        </w:tc>
      </w:tr>
      <w:tr w:rsidR="00D779A0" w:rsidRPr="00D779A0" w:rsidTr="00DF54EE">
        <w:trPr>
          <w:trHeight w:hRule="exact" w:val="538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выявление и развитие таланта и способностей обучающихся;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97%</w:t>
            </w:r>
          </w:p>
        </w:tc>
      </w:tr>
      <w:tr w:rsidR="00D779A0" w:rsidRPr="00D779A0" w:rsidTr="00DF54EE">
        <w:trPr>
          <w:trHeight w:hRule="exact" w:val="859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954</w:t>
            </w:r>
          </w:p>
        </w:tc>
      </w:tr>
      <w:tr w:rsidR="00D779A0" w:rsidRPr="00D779A0" w:rsidTr="00DF54EE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62%</w:t>
            </w: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C76170" w:rsidRPr="00D912FD" w:rsidRDefault="00C76170" w:rsidP="000004D0">
      <w:pPr>
        <w:spacing w:line="240" w:lineRule="exact"/>
        <w:rPr>
          <w:sz w:val="28"/>
          <w:szCs w:val="28"/>
        </w:rPr>
      </w:pPr>
    </w:p>
    <w:sectPr w:rsidR="00C76170" w:rsidRPr="00D912FD" w:rsidSect="00B92F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EE" w:rsidRDefault="00DF54EE">
      <w:r>
        <w:separator/>
      </w:r>
    </w:p>
  </w:endnote>
  <w:endnote w:type="continuationSeparator" w:id="0">
    <w:p w:rsidR="00DF54EE" w:rsidRDefault="00DF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EE" w:rsidRDefault="00DF54EE"/>
  </w:footnote>
  <w:footnote w:type="continuationSeparator" w:id="0">
    <w:p w:rsidR="00DF54EE" w:rsidRDefault="00DF54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004D0"/>
    <w:rsid w:val="00003A58"/>
    <w:rsid w:val="000310E7"/>
    <w:rsid w:val="000328CD"/>
    <w:rsid w:val="000438C2"/>
    <w:rsid w:val="000574AB"/>
    <w:rsid w:val="00065BAC"/>
    <w:rsid w:val="00065F5A"/>
    <w:rsid w:val="00071CC9"/>
    <w:rsid w:val="000807C0"/>
    <w:rsid w:val="00092398"/>
    <w:rsid w:val="00092773"/>
    <w:rsid w:val="000A6008"/>
    <w:rsid w:val="000B09A7"/>
    <w:rsid w:val="000B250A"/>
    <w:rsid w:val="000B3D92"/>
    <w:rsid w:val="000C7FAC"/>
    <w:rsid w:val="00104C62"/>
    <w:rsid w:val="00105998"/>
    <w:rsid w:val="00110CDE"/>
    <w:rsid w:val="00135C1E"/>
    <w:rsid w:val="00151F91"/>
    <w:rsid w:val="00166974"/>
    <w:rsid w:val="00174739"/>
    <w:rsid w:val="001832E9"/>
    <w:rsid w:val="00186D1E"/>
    <w:rsid w:val="00191501"/>
    <w:rsid w:val="001A4D15"/>
    <w:rsid w:val="001C68ED"/>
    <w:rsid w:val="00202A0C"/>
    <w:rsid w:val="00206BA7"/>
    <w:rsid w:val="002216B5"/>
    <w:rsid w:val="002240AC"/>
    <w:rsid w:val="0023003C"/>
    <w:rsid w:val="00240AC9"/>
    <w:rsid w:val="00287965"/>
    <w:rsid w:val="002A30AB"/>
    <w:rsid w:val="002E55E9"/>
    <w:rsid w:val="00302EEF"/>
    <w:rsid w:val="00321B1D"/>
    <w:rsid w:val="003441C4"/>
    <w:rsid w:val="0034738B"/>
    <w:rsid w:val="003637C4"/>
    <w:rsid w:val="003647DF"/>
    <w:rsid w:val="00391E7B"/>
    <w:rsid w:val="00395065"/>
    <w:rsid w:val="00396C30"/>
    <w:rsid w:val="00412059"/>
    <w:rsid w:val="004376D6"/>
    <w:rsid w:val="004543F6"/>
    <w:rsid w:val="004625C5"/>
    <w:rsid w:val="00473640"/>
    <w:rsid w:val="004849A1"/>
    <w:rsid w:val="004C0527"/>
    <w:rsid w:val="004C394D"/>
    <w:rsid w:val="004D1780"/>
    <w:rsid w:val="004D74FF"/>
    <w:rsid w:val="004E7EC6"/>
    <w:rsid w:val="004F5301"/>
    <w:rsid w:val="00504883"/>
    <w:rsid w:val="0050697C"/>
    <w:rsid w:val="00514FAE"/>
    <w:rsid w:val="00530726"/>
    <w:rsid w:val="00533AB1"/>
    <w:rsid w:val="005679FC"/>
    <w:rsid w:val="00581058"/>
    <w:rsid w:val="005D0270"/>
    <w:rsid w:val="005D0AA4"/>
    <w:rsid w:val="005D25FA"/>
    <w:rsid w:val="005D2F08"/>
    <w:rsid w:val="005E3179"/>
    <w:rsid w:val="0060083E"/>
    <w:rsid w:val="006243AD"/>
    <w:rsid w:val="006343AA"/>
    <w:rsid w:val="006370A0"/>
    <w:rsid w:val="006678C0"/>
    <w:rsid w:val="00670C08"/>
    <w:rsid w:val="00672DB6"/>
    <w:rsid w:val="006852E6"/>
    <w:rsid w:val="006A01A3"/>
    <w:rsid w:val="006A5726"/>
    <w:rsid w:val="006A711E"/>
    <w:rsid w:val="006B0AF7"/>
    <w:rsid w:val="006B25A6"/>
    <w:rsid w:val="006C3995"/>
    <w:rsid w:val="006D746C"/>
    <w:rsid w:val="006E1198"/>
    <w:rsid w:val="006F06F3"/>
    <w:rsid w:val="00724499"/>
    <w:rsid w:val="00740BD9"/>
    <w:rsid w:val="0075783B"/>
    <w:rsid w:val="00765801"/>
    <w:rsid w:val="007664B9"/>
    <w:rsid w:val="00775146"/>
    <w:rsid w:val="007833C6"/>
    <w:rsid w:val="00790A96"/>
    <w:rsid w:val="00793B27"/>
    <w:rsid w:val="00795DC7"/>
    <w:rsid w:val="0079638A"/>
    <w:rsid w:val="007C6241"/>
    <w:rsid w:val="007D205D"/>
    <w:rsid w:val="007D5BD1"/>
    <w:rsid w:val="007D72EE"/>
    <w:rsid w:val="007F1660"/>
    <w:rsid w:val="007F3D08"/>
    <w:rsid w:val="008016C6"/>
    <w:rsid w:val="00822044"/>
    <w:rsid w:val="00823F58"/>
    <w:rsid w:val="00830BBA"/>
    <w:rsid w:val="00832B9E"/>
    <w:rsid w:val="008418A1"/>
    <w:rsid w:val="0086491E"/>
    <w:rsid w:val="00873B4A"/>
    <w:rsid w:val="008934E3"/>
    <w:rsid w:val="00896E6E"/>
    <w:rsid w:val="008D6CB3"/>
    <w:rsid w:val="008E4180"/>
    <w:rsid w:val="008F7DFF"/>
    <w:rsid w:val="00901836"/>
    <w:rsid w:val="009059FE"/>
    <w:rsid w:val="009243B7"/>
    <w:rsid w:val="00957FAE"/>
    <w:rsid w:val="00964814"/>
    <w:rsid w:val="009674D2"/>
    <w:rsid w:val="0097793C"/>
    <w:rsid w:val="00981608"/>
    <w:rsid w:val="009A12FC"/>
    <w:rsid w:val="009C0677"/>
    <w:rsid w:val="009C57A0"/>
    <w:rsid w:val="009D531E"/>
    <w:rsid w:val="009D6FCF"/>
    <w:rsid w:val="00A04F6E"/>
    <w:rsid w:val="00A05207"/>
    <w:rsid w:val="00A2308C"/>
    <w:rsid w:val="00A46D72"/>
    <w:rsid w:val="00A506C2"/>
    <w:rsid w:val="00A5542F"/>
    <w:rsid w:val="00A70034"/>
    <w:rsid w:val="00A70E6A"/>
    <w:rsid w:val="00A86C22"/>
    <w:rsid w:val="00AB2CFC"/>
    <w:rsid w:val="00AD3403"/>
    <w:rsid w:val="00AE0C87"/>
    <w:rsid w:val="00B05E57"/>
    <w:rsid w:val="00B21A29"/>
    <w:rsid w:val="00B2661F"/>
    <w:rsid w:val="00B663AF"/>
    <w:rsid w:val="00B92FFF"/>
    <w:rsid w:val="00BA55D9"/>
    <w:rsid w:val="00BB22BE"/>
    <w:rsid w:val="00BC517A"/>
    <w:rsid w:val="00BD3C72"/>
    <w:rsid w:val="00BD7C26"/>
    <w:rsid w:val="00BE798A"/>
    <w:rsid w:val="00C04C99"/>
    <w:rsid w:val="00C13928"/>
    <w:rsid w:val="00C20E53"/>
    <w:rsid w:val="00C37B5C"/>
    <w:rsid w:val="00C76170"/>
    <w:rsid w:val="00C85D41"/>
    <w:rsid w:val="00CA07EE"/>
    <w:rsid w:val="00CA0B84"/>
    <w:rsid w:val="00CD29B7"/>
    <w:rsid w:val="00CE006D"/>
    <w:rsid w:val="00D13C44"/>
    <w:rsid w:val="00D21995"/>
    <w:rsid w:val="00D46959"/>
    <w:rsid w:val="00D666FB"/>
    <w:rsid w:val="00D66D70"/>
    <w:rsid w:val="00D675F8"/>
    <w:rsid w:val="00D779A0"/>
    <w:rsid w:val="00D8261B"/>
    <w:rsid w:val="00D82FAA"/>
    <w:rsid w:val="00D912FD"/>
    <w:rsid w:val="00DB0C7B"/>
    <w:rsid w:val="00DC1970"/>
    <w:rsid w:val="00DC6C1A"/>
    <w:rsid w:val="00DF1091"/>
    <w:rsid w:val="00DF2421"/>
    <w:rsid w:val="00DF54EE"/>
    <w:rsid w:val="00E03022"/>
    <w:rsid w:val="00E2266F"/>
    <w:rsid w:val="00E359CC"/>
    <w:rsid w:val="00E45CCA"/>
    <w:rsid w:val="00E5650F"/>
    <w:rsid w:val="00E66CC0"/>
    <w:rsid w:val="00E72B69"/>
    <w:rsid w:val="00E76AD7"/>
    <w:rsid w:val="00EC21B8"/>
    <w:rsid w:val="00EC4A68"/>
    <w:rsid w:val="00EE5DF6"/>
    <w:rsid w:val="00EE5E50"/>
    <w:rsid w:val="00EF0299"/>
    <w:rsid w:val="00EF3E02"/>
    <w:rsid w:val="00F05C9D"/>
    <w:rsid w:val="00F16E4A"/>
    <w:rsid w:val="00F17066"/>
    <w:rsid w:val="00F50F2E"/>
    <w:rsid w:val="00F62644"/>
    <w:rsid w:val="00F72B2A"/>
    <w:rsid w:val="00F74EEB"/>
    <w:rsid w:val="00FA6410"/>
    <w:rsid w:val="00FB6D61"/>
    <w:rsid w:val="00FC738D"/>
    <w:rsid w:val="00FD2245"/>
    <w:rsid w:val="00FE5017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4BE3-FF98-4C38-B750-FE9A38CD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19</Pages>
  <Words>4427</Words>
  <Characters>25237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Надежда Валентиновна</dc:creator>
  <cp:lastModifiedBy>MVM-OBR</cp:lastModifiedBy>
  <cp:revision>12</cp:revision>
  <cp:lastPrinted>2024-10-25T14:09:00Z</cp:lastPrinted>
  <dcterms:created xsi:type="dcterms:W3CDTF">2024-10-24T09:15:00Z</dcterms:created>
  <dcterms:modified xsi:type="dcterms:W3CDTF">2024-10-25T14:09:00Z</dcterms:modified>
</cp:coreProperties>
</file>