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1131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12"/>
      </w:tblGrid>
      <w:tr>
        <w:trPr>
          <w:trHeight w:val="4818" w:hRule="atLeast"/>
        </w:trPr>
        <w:tc>
          <w:tcPr>
            <w:tcW w:w="1131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tbl>
            <w:tblPr>
              <w:tblStyle w:val="a3"/>
              <w:tblW w:w="11086" w:type="dxa"/>
              <w:jc w:val="left"/>
              <w:tblInd w:w="0" w:type="dxa"/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4a0"/>
            </w:tblPr>
            <w:tblGrid>
              <w:gridCol w:w="5132"/>
              <w:gridCol w:w="5953"/>
            </w:tblGrid>
            <w:tr>
              <w:trPr/>
              <w:tc>
                <w:tcPr>
                  <w:tcW w:w="513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ConsPlusNormal"/>
                    <w:tabs>
                      <w:tab w:val="left" w:pos="-680" w:leader="none"/>
                    </w:tabs>
                    <w:ind w:left="-822" w:hanging="0"/>
                    <w:jc w:val="left"/>
                    <w:rPr>
                      <w:sz w:val="28"/>
                      <w:szCs w:val="28"/>
                      <w:lang w:eastAsia="en-US"/>
                    </w:rPr>
                  </w:pPr>
                  <w:r>
                    <w:rPr/>
                    <w:drawing>
                      <wp:inline distT="0" distB="9525" distL="0" distR="0">
                        <wp:extent cx="3524250" cy="2638425"/>
                        <wp:effectExtent l="0" t="0" r="0" b="0"/>
                        <wp:docPr id="1" name="Рисунок 2" descr="C:\Users\Admin\AppData\Local\Temp\Rar$DI02.904\LOGO.ep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2" descr="C:\Users\Admin\AppData\Local\Temp\Rar$DI02.904\LOGO.ep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0" cy="263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53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center"/>
                    <w:rPr>
                      <w:b/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>
                  <w:pPr>
                    <w:pStyle w:val="Normal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Новочеркасская городская организация Ростовской областной организации Профсоюза работников н/образования и науки РФ</w:t>
                  </w:r>
                </w:p>
                <w:p>
                  <w:pPr>
                    <w:pStyle w:val="ConsPlusTitle"/>
                    <w:jc w:val="right"/>
                    <w:rPr>
                      <w:color w:val="FF0000"/>
                      <w:lang w:eastAsia="en-US"/>
                    </w:rPr>
                  </w:pPr>
                  <w:r>
                    <w:rPr>
                      <w:color w:val="FF0000"/>
                      <w:lang w:eastAsia="en-US"/>
                    </w:rPr>
                    <w:t xml:space="preserve">Год </w:t>
                  </w:r>
                  <w:r>
                    <w:rPr>
                      <w:color w:val="FF0000"/>
                      <w:lang w:val="en-US" w:eastAsia="en-US"/>
                    </w:rPr>
                    <w:t>PR</w:t>
                  </w:r>
                  <w:r>
                    <w:rPr>
                      <w:color w:val="FF0000"/>
                      <w:lang w:eastAsia="en-US"/>
                    </w:rPr>
                    <w:t>-движения.</w:t>
                  </w:r>
                </w:p>
                <w:p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</w:r>
                </w:p>
                <w:p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№5.</w:t>
                  </w:r>
                </w:p>
                <w:p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</w:r>
                </w:p>
                <w:p>
                  <w:pPr>
                    <w:pStyle w:val="ConsPlusNormal"/>
                    <w:jc w:val="center"/>
                    <w:rPr>
                      <w:b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Судебная практика! Ознакомьтесь!</w:t>
                  </w:r>
                </w:p>
              </w:tc>
            </w:tr>
          </w:tbl>
          <w:p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1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СП: Перед сокращением работодатель не обязан предлагать должности, требующие более высокой квалификации</w:t>
            </w:r>
          </w:p>
          <w:p>
            <w:pPr>
              <w:pStyle w:val="ConsPlusNormal"/>
              <w:ind w:firstLine="540"/>
              <w:jc w:val="both"/>
              <w:rPr/>
            </w:pPr>
            <w:r>
              <w:rPr>
                <w:sz w:val="20"/>
                <w:szCs w:val="20"/>
              </w:rPr>
              <w:t xml:space="preserve">Этот вывод следует из апелляционного </w:t>
            </w:r>
            <w:hyperlink r:id="rId3">
              <w:r>
                <w:rPr>
                  <w:rStyle w:val="Style15"/>
                  <w:color w:val="0000FF"/>
                  <w:sz w:val="20"/>
                  <w:szCs w:val="20"/>
                </w:rPr>
                <w:t>определения</w:t>
              </w:r>
            </w:hyperlink>
            <w:r>
              <w:rPr>
                <w:sz w:val="20"/>
                <w:szCs w:val="20"/>
              </w:rPr>
              <w:t xml:space="preserve"> Санкт-Петербургского городского суда. Такой </w:t>
            </w:r>
            <w:hyperlink r:id="rId4">
              <w:r>
                <w:rPr>
                  <w:rStyle w:val="Style15"/>
                  <w:color w:val="0000FF"/>
                  <w:sz w:val="20"/>
                  <w:szCs w:val="20"/>
                </w:rPr>
                <w:t>подход</w:t>
              </w:r>
            </w:hyperlink>
            <w:r>
              <w:rPr>
                <w:sz w:val="20"/>
                <w:szCs w:val="20"/>
              </w:rPr>
              <w:t xml:space="preserve"> в судебной практике не новый.</w:t>
            </w:r>
          </w:p>
          <w:p>
            <w:pPr>
              <w:pStyle w:val="ConsPlusNormal"/>
              <w:ind w:firstLine="540"/>
              <w:jc w:val="both"/>
              <w:rPr/>
            </w:pPr>
            <w:r>
              <w:rPr>
                <w:sz w:val="20"/>
                <w:szCs w:val="20"/>
              </w:rPr>
              <w:t xml:space="preserve">По мнению сокращенного сотрудника, работодатель не предложил ему все вакантные должности и не проанализировал, соответствует ли его квалификация другим должностям. Работник подал на компанию в суд, ссылаясь на незаконность увольнения в связи с </w:t>
            </w:r>
            <w:hyperlink r:id="rId5">
              <w:r>
                <w:rPr>
                  <w:rStyle w:val="Style15"/>
                  <w:color w:val="0000FF"/>
                  <w:sz w:val="20"/>
                  <w:szCs w:val="20"/>
                </w:rPr>
                <w:t>сокращением</w:t>
              </w:r>
            </w:hyperlink>
            <w:r>
              <w:rPr>
                <w:sz w:val="20"/>
                <w:szCs w:val="20"/>
              </w:rPr>
              <w:t xml:space="preserve"> численности работников.</w:t>
            </w:r>
          </w:p>
          <w:p>
            <w:pPr>
              <w:pStyle w:val="ConsPlusNormal"/>
              <w:ind w:firstLine="540"/>
              <w:jc w:val="both"/>
              <w:rPr/>
            </w:pPr>
            <w:r>
              <w:rPr>
                <w:sz w:val="20"/>
                <w:szCs w:val="20"/>
              </w:rPr>
              <w:t xml:space="preserve">Суд установил, что о предстоящем увольнении компания </w:t>
            </w:r>
            <w:hyperlink r:id="rId6">
              <w:r>
                <w:rPr>
                  <w:rStyle w:val="Style15"/>
                  <w:color w:val="0000FF"/>
                  <w:sz w:val="20"/>
                  <w:szCs w:val="20"/>
                </w:rPr>
                <w:t>уведомила</w:t>
              </w:r>
            </w:hyperlink>
            <w:r>
              <w:rPr>
                <w:sz w:val="20"/>
                <w:szCs w:val="20"/>
              </w:rPr>
              <w:t xml:space="preserve"> работника. На период с даты уведомления по </w:t>
            </w:r>
            <w:hyperlink r:id="rId7">
              <w:r>
                <w:rPr>
                  <w:rStyle w:val="Style15"/>
                  <w:color w:val="0000FF"/>
                  <w:sz w:val="20"/>
                  <w:szCs w:val="20"/>
                </w:rPr>
                <w:t>день увольнения</w:t>
              </w:r>
            </w:hyperlink>
            <w:r>
              <w:rPr>
                <w:sz w:val="20"/>
                <w:szCs w:val="20"/>
              </w:rPr>
              <w:t xml:space="preserve"> согласно штатному расписанию у работодателя было </w:t>
            </w:r>
            <w:hyperlink r:id="rId8">
              <w:r>
                <w:rPr>
                  <w:rStyle w:val="Style15"/>
                  <w:color w:val="0000FF"/>
                  <w:sz w:val="20"/>
                  <w:szCs w:val="20"/>
                </w:rPr>
                <w:t>много</w:t>
              </w:r>
            </w:hyperlink>
            <w:r>
              <w:rPr>
                <w:sz w:val="20"/>
                <w:szCs w:val="20"/>
              </w:rPr>
              <w:t xml:space="preserve"> вакансий. При этом они соответствовали квалификации работника. Тем не менее занять их истец отказался. Ряд других должностей работодатель ему не предложил из-за того, что истец </w:t>
            </w:r>
            <w:hyperlink r:id="rId9">
              <w:r>
                <w:rPr>
                  <w:rStyle w:val="Style15"/>
                  <w:color w:val="0000FF"/>
                  <w:sz w:val="20"/>
                  <w:szCs w:val="20"/>
                </w:rPr>
                <w:t>не соответствовал</w:t>
              </w:r>
            </w:hyperlink>
            <w:r>
              <w:rPr>
                <w:sz w:val="20"/>
                <w:szCs w:val="20"/>
              </w:rPr>
              <w:t xml:space="preserve"> квалификационным требованиям. Работник не доказал, что отвечает им. Работодатель </w:t>
            </w:r>
            <w:hyperlink r:id="rId10">
              <w:r>
                <w:rPr>
                  <w:rStyle w:val="Style15"/>
                  <w:color w:val="0000FF"/>
                  <w:sz w:val="20"/>
                  <w:szCs w:val="20"/>
                </w:rPr>
                <w:t>не нарушил</w:t>
              </w:r>
            </w:hyperlink>
            <w:r>
              <w:rPr>
                <w:sz w:val="20"/>
                <w:szCs w:val="20"/>
              </w:rPr>
              <w:t xml:space="preserve"> процедуру увольнения в связи с сокращением численности.</w:t>
            </w:r>
          </w:p>
          <w:p>
            <w:pPr>
              <w:pStyle w:val="ConsPlusNormal"/>
              <w:ind w:firstLine="540"/>
              <w:jc w:val="both"/>
              <w:rPr/>
            </w:pPr>
            <w:r>
              <w:rPr>
                <w:i/>
                <w:sz w:val="20"/>
                <w:szCs w:val="20"/>
              </w:rPr>
              <w:t xml:space="preserve">Документ: Апелляционное </w:t>
            </w:r>
            <w:hyperlink r:id="rId11">
              <w:r>
                <w:rPr>
                  <w:rStyle w:val="Style15"/>
                  <w:i/>
                  <w:color w:val="0000FF"/>
                  <w:sz w:val="20"/>
                  <w:szCs w:val="20"/>
                </w:rPr>
                <w:t>определение</w:t>
              </w:r>
            </w:hyperlink>
            <w:r>
              <w:rPr>
                <w:i/>
                <w:sz w:val="20"/>
                <w:szCs w:val="20"/>
              </w:rPr>
              <w:t xml:space="preserve"> Санкт-Петербургского городского суда от 09.02.2017 по делу N 2-2554/2016</w:t>
            </w:r>
          </w:p>
          <w:p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СП: Увольнение по желанию работника законно, если его действия доказывают намерение расторгнуть договор</w:t>
            </w:r>
          </w:p>
          <w:p>
            <w:pPr>
              <w:pStyle w:val="ConsPlusNormal"/>
              <w:ind w:firstLine="540"/>
              <w:jc w:val="both"/>
              <w:rPr/>
            </w:pPr>
            <w:r>
              <w:rPr>
                <w:sz w:val="20"/>
                <w:szCs w:val="20"/>
              </w:rPr>
              <w:t xml:space="preserve">Мосгорсуд </w:t>
            </w:r>
            <w:hyperlink r:id="rId12">
              <w:r>
                <w:rPr>
                  <w:rStyle w:val="Style15"/>
                  <w:color w:val="0000FF"/>
                  <w:sz w:val="20"/>
                  <w:szCs w:val="20"/>
                </w:rPr>
                <w:t>поддержал</w:t>
              </w:r>
            </w:hyperlink>
            <w:r>
              <w:rPr>
                <w:sz w:val="20"/>
                <w:szCs w:val="20"/>
              </w:rPr>
              <w:t xml:space="preserve"> работодателя, не признав увольнение вынужденным. Эта позиция в очередной раз подтвердила </w:t>
            </w:r>
            <w:hyperlink r:id="rId13">
              <w:r>
                <w:rPr>
                  <w:rStyle w:val="Style15"/>
                  <w:color w:val="0000FF"/>
                  <w:sz w:val="20"/>
                  <w:szCs w:val="20"/>
                </w:rPr>
                <w:t>сложившуюся практику</w:t>
              </w:r>
            </w:hyperlink>
            <w:r>
              <w:rPr>
                <w:sz w:val="20"/>
                <w:szCs w:val="20"/>
              </w:rPr>
              <w:t>.</w:t>
            </w:r>
          </w:p>
          <w:p>
            <w:pPr>
              <w:pStyle w:val="ConsPlusNormal"/>
              <w:ind w:firstLine="540"/>
              <w:jc w:val="both"/>
              <w:rPr/>
            </w:pPr>
            <w:r>
              <w:rPr>
                <w:sz w:val="20"/>
                <w:szCs w:val="20"/>
              </w:rPr>
              <w:t xml:space="preserve">Увольнение состоялось в день подачи заявления. Мосгорсуд </w:t>
            </w:r>
            <w:hyperlink r:id="rId14">
              <w:r>
                <w:rPr>
                  <w:rStyle w:val="Style15"/>
                  <w:color w:val="0000FF"/>
                  <w:sz w:val="20"/>
                  <w:szCs w:val="20"/>
                </w:rPr>
                <w:t>согласился</w:t>
              </w:r>
            </w:hyperlink>
            <w:r>
              <w:rPr>
                <w:sz w:val="20"/>
                <w:szCs w:val="20"/>
              </w:rPr>
              <w:t xml:space="preserve"> с решением первой инстанции и не восстановил сотрудника на работе. Подход основан среди прочего на том, что работник </w:t>
            </w:r>
            <w:hyperlink r:id="rId15">
              <w:r>
                <w:rPr>
                  <w:rStyle w:val="Style15"/>
                  <w:color w:val="0000FF"/>
                  <w:sz w:val="20"/>
                  <w:szCs w:val="20"/>
                </w:rPr>
                <w:t>совершил</w:t>
              </w:r>
            </w:hyperlink>
            <w:r>
              <w:rPr>
                <w:sz w:val="20"/>
                <w:szCs w:val="20"/>
              </w:rPr>
              <w:t xml:space="preserve"> последовательные действия с целью расторгнуть договор по собственному желанию. В том числе он:- лично поставил дату увольнения, подписал заявление об уходе и не попытался отозвать его;</w:t>
            </w:r>
          </w:p>
          <w:p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 ознакомился с приказом о расторжении договора и получил обходной лист и трудовую книжку;</w:t>
            </w:r>
          </w:p>
          <w:p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 не выходил на работу после издания приказа об увольнении.</w:t>
            </w:r>
          </w:p>
          <w:p>
            <w:pPr>
              <w:pStyle w:val="ConsPlusNormal"/>
              <w:ind w:firstLine="540"/>
              <w:jc w:val="both"/>
              <w:rPr/>
            </w:pPr>
            <w:r>
              <w:rPr>
                <w:sz w:val="20"/>
                <w:szCs w:val="20"/>
              </w:rPr>
              <w:t xml:space="preserve">Когда сотрудник оспаривает добровольность увольнения, он сам должен доказать, что работодатель вынудил его написать заявление. На это еще в 2004 году </w:t>
            </w:r>
            <w:hyperlink r:id="rId16">
              <w:r>
                <w:rPr>
                  <w:rStyle w:val="Style15"/>
                  <w:color w:val="0000FF"/>
                  <w:sz w:val="20"/>
                  <w:szCs w:val="20"/>
                </w:rPr>
                <w:t>указал</w:t>
              </w:r>
            </w:hyperlink>
            <w:r>
              <w:rPr>
                <w:sz w:val="20"/>
                <w:szCs w:val="20"/>
              </w:rPr>
              <w:t xml:space="preserve"> Пленум ВС РФ. В деле, рассмотренном Мосгорсудом, таких доказательств представлено не было.</w:t>
            </w:r>
          </w:p>
          <w:p>
            <w:pPr>
              <w:pStyle w:val="ConsPlusNormal"/>
              <w:ind w:firstLine="540"/>
              <w:jc w:val="both"/>
              <w:rPr/>
            </w:pPr>
            <w:r>
              <w:rPr>
                <w:sz w:val="20"/>
                <w:szCs w:val="20"/>
              </w:rPr>
              <w:t xml:space="preserve">Работнику не помогли ссылки на то, что он был поставлен перед выбором между уходом по собственному желанию и увольнением за нарушение трудовой дисциплины. Отзыв заявления об уходе, направленный на следующий день после расторжения договора, также не </w:t>
            </w:r>
            <w:hyperlink r:id="rId17">
              <w:r>
                <w:rPr>
                  <w:rStyle w:val="Style15"/>
                  <w:color w:val="0000FF"/>
                  <w:sz w:val="20"/>
                  <w:szCs w:val="20"/>
                </w:rPr>
                <w:t>позволил</w:t>
              </w:r>
            </w:hyperlink>
            <w:r>
              <w:rPr>
                <w:sz w:val="20"/>
                <w:szCs w:val="20"/>
              </w:rPr>
              <w:t xml:space="preserve"> усомниться в законности увольнения.</w:t>
            </w:r>
          </w:p>
          <w:p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Позиция Мосгорсуда поможет работодателю аргументировать свою точку зрения в подобных спорах с сотрудниками.</w:t>
            </w:r>
          </w:p>
          <w:p>
            <w:pPr>
              <w:pStyle w:val="ConsPlusNormal"/>
              <w:ind w:firstLine="540"/>
              <w:jc w:val="both"/>
              <w:rPr/>
            </w:pPr>
            <w:r>
              <w:rPr>
                <w:i/>
                <w:sz w:val="20"/>
                <w:szCs w:val="20"/>
              </w:rPr>
              <w:t xml:space="preserve">Документ: Апелляционное </w:t>
            </w:r>
            <w:hyperlink r:id="rId18">
              <w:r>
                <w:rPr>
                  <w:rStyle w:val="Style15"/>
                  <w:i/>
                  <w:color w:val="0000FF"/>
                  <w:sz w:val="20"/>
                  <w:szCs w:val="20"/>
                </w:rPr>
                <w:t>определение</w:t>
              </w:r>
            </w:hyperlink>
            <w:r>
              <w:rPr>
                <w:i/>
                <w:sz w:val="20"/>
                <w:szCs w:val="20"/>
              </w:rPr>
              <w:t xml:space="preserve"> Московского городского суда от 10.02.2017 по делу N 33-5431/2017</w:t>
            </w:r>
          </w:p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c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c130c2"/>
    <w:rPr>
      <w:rFonts w:ascii="Tahoma" w:hAnsi="Tahoma" w:cs="Tahoma"/>
      <w:sz w:val="16"/>
      <w:szCs w:val="16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c130c2"/>
    <w:pPr>
      <w:widowControl w:val="false"/>
      <w:bidi w:val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c130c2"/>
    <w:pPr>
      <w:widowControl w:val="false"/>
      <w:bidi w:val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c130c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130c2"/>
    <w:pPr>
      <w:jc w:val="left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consultantplus://offline/ref=4A7ACE5D82AE713A03CE5D016A3EBCA2B0FF0F2BF079B0535119E1193C48N2tAN" TargetMode="External"/><Relationship Id="rId4" Type="http://schemas.openxmlformats.org/officeDocument/2006/relationships/hyperlink" Target="consultantplus://offline/ref=4A7ACE5D82AE713A03CE5E1A733EBCA2B3FC5C7EAD71B55B034EE15779462FF3ABDDAEN7t7N" TargetMode="External"/><Relationship Id="rId5" Type="http://schemas.openxmlformats.org/officeDocument/2006/relationships/hyperlink" Target="consultantplus://offline/ref=4A7ACE5D82AE713A03CE5C01733EBCA2B3F70B22FE75BF0E5B11B8153E4F25A7E89DA57757NBt3N" TargetMode="External"/><Relationship Id="rId6" Type="http://schemas.openxmlformats.org/officeDocument/2006/relationships/hyperlink" Target="consultantplus://offline/ref=4A7ACE5D82AE713A03CE5D016A3EBCA2B0FF0F2BF079B0535119E1193C482AF8FF9AEC7E5FB4098908N1tBN" TargetMode="External"/><Relationship Id="rId7" Type="http://schemas.openxmlformats.org/officeDocument/2006/relationships/hyperlink" Target="consultantplus://offline/ref=4A7ACE5D82AE713A03CE5D016A3EBCA2B0FF0F2BF079B0535119E1193C482AF8FF9AEC7E5FB409890BN1t5N" TargetMode="External"/><Relationship Id="rId8" Type="http://schemas.openxmlformats.org/officeDocument/2006/relationships/hyperlink" Target="consultantplus://offline/ref=4A7ACE5D82AE713A03CE5D016A3EBCA2B0FF0F2BF079B0535119E1193C482AF8FF9AEC7E5FB4098908N1t5N" TargetMode="External"/><Relationship Id="rId9" Type="http://schemas.openxmlformats.org/officeDocument/2006/relationships/hyperlink" Target="consultantplus://offline/ref=4A7ACE5D82AE713A03CE5D016A3EBCA2B0FF0F2BF079B0535119E1193C482AF8FF9AEC7E5FB4098908N1t4N" TargetMode="External"/><Relationship Id="rId10" Type="http://schemas.openxmlformats.org/officeDocument/2006/relationships/hyperlink" Target="consultantplus://offline/ref=4A7ACE5D82AE713A03CE5D016A3EBCA2B0FF0F2BF079B0535119E1193C482AF8FF9AEC7E5FB4098909N1t9N" TargetMode="External"/><Relationship Id="rId11" Type="http://schemas.openxmlformats.org/officeDocument/2006/relationships/hyperlink" Target="consultantplus://offline/ref=4A7ACE5D82AE713A03CE5D016A3EBCA2B0FF0F2BF079B0535119E1193C48N2tAN" TargetMode="External"/><Relationship Id="rId12" Type="http://schemas.openxmlformats.org/officeDocument/2006/relationships/hyperlink" Target="consultantplus://offline/ref=4A7ACE5D82AE713A03CE5D016A3EBCA2B0FF0F27F075B5535119E1193C482AF8FF9AEC7E5FB4098908N1tAN" TargetMode="External"/><Relationship Id="rId13" Type="http://schemas.openxmlformats.org/officeDocument/2006/relationships/hyperlink" Target="consultantplus://offline/ref=4A7ACE5D82AE713A03CE5E1A733EBCA2B5FC5C7EAD71B55B034EE15779462FF3ABDFAAN7t5N" TargetMode="External"/><Relationship Id="rId14" Type="http://schemas.openxmlformats.org/officeDocument/2006/relationships/hyperlink" Target="consultantplus://offline/ref=4A7ACE5D82AE713A03CE5D016A3EBCA2B0FF0F27F075B5535119E1193C482AF8FF9AEC7E5FB4098909N1tEN" TargetMode="External"/><Relationship Id="rId15" Type="http://schemas.openxmlformats.org/officeDocument/2006/relationships/hyperlink" Target="consultantplus://offline/ref=4A7ACE5D82AE713A03CE5D016A3EBCA2B0FF0F27F075B5535119E1193C482AF8FF9AEC7E5FB4098908N1t4N" TargetMode="External"/><Relationship Id="rId16" Type="http://schemas.openxmlformats.org/officeDocument/2006/relationships/hyperlink" Target="consultantplus://offline/ref=4A7ACE5D82AE713A03CE5C01733EBCA2B0FF0321FF7ABF0E5B11B8153E4F25A7E89DA5725EB40B8FN0tCN" TargetMode="External"/><Relationship Id="rId17" Type="http://schemas.openxmlformats.org/officeDocument/2006/relationships/hyperlink" Target="consultantplus://offline/ref=4A7ACE5D82AE713A03CE5D016A3EBCA2B0FF0F27F075B5535119E1193C482AF8FF9AEC7E5FB4098908N1tBN" TargetMode="External"/><Relationship Id="rId18" Type="http://schemas.openxmlformats.org/officeDocument/2006/relationships/hyperlink" Target="consultantplus://offline/ref=4A7ACE5D82AE713A03CE5D016A3EBCA2B0FF0F27F075B5535119E1193C48N2tAN" TargetMode="Externa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LibreOffice/5.3.4.2$Windows_x86 LibreOffice_project/f82d347ccc0be322489bf7da61d7e4ad13fe2ff3</Application>
  <Pages>1</Pages>
  <Words>373</Words>
  <Characters>2514</Characters>
  <CharactersWithSpaces>2869</CharactersWithSpaces>
  <Paragraphs>21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2017-11-02T08:25:00Z</dcterms:created>
  <dc:creator>User</dc:creator>
  <dc:description/>
  <dc:language>ru-RU</dc:language>
  <cp:lastModifiedBy/>
  <cp:lastPrinted>2017-11-29T13:40:19Z</cp:lastPrinted>
  <dcterms:modified xsi:type="dcterms:W3CDTF">2017-11-29T13:40:56Z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