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239" w:rsidRDefault="00EF2239">
      <w:pPr>
        <w:tabs>
          <w:tab w:val="left" w:pos="2095"/>
        </w:tabs>
        <w:rPr>
          <w:sz w:val="20"/>
        </w:rPr>
      </w:pPr>
    </w:p>
    <w:p w:rsidR="00EF2239" w:rsidRDefault="006510BF">
      <w:pPr>
        <w:tabs>
          <w:tab w:val="left" w:pos="2095"/>
        </w:tabs>
        <w:rPr>
          <w:sz w:val="20"/>
        </w:rPr>
      </w:pPr>
      <w:r>
        <w:rPr>
          <w:sz w:val="20"/>
        </w:rPr>
        <w:tab/>
      </w:r>
    </w:p>
    <w:p w:rsidR="00EF2239" w:rsidRDefault="006510BF">
      <w:pPr>
        <w:spacing w:after="120"/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Указания по заполнению формы федерального статистического наблюдения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1. Первичные статистические данные по форме федерального статистического наблюдения № 7-НК «Сведения об организации культурно-досугового типа» (далее – форма) предоставляют юридические лица, </w:t>
      </w:r>
      <w:r>
        <w:rPr>
          <w:spacing w:val="-4"/>
        </w:rPr>
        <w:t>осуществляющие культурно-досуговую деятельность (кроме субъектов малого предпринимательства)</w:t>
      </w:r>
      <w:r>
        <w:rPr>
          <w:szCs w:val="24"/>
        </w:rPr>
        <w:t>: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pacing w:val="-2"/>
          <w:szCs w:val="24"/>
        </w:rPr>
        <w:t xml:space="preserve">юридические лица – организации культурно-досугового типа, в том числе являющиеся клубным формированием или коллективом художественного любительского творчества, </w:t>
      </w:r>
      <w:r>
        <w:rPr>
          <w:szCs w:val="24"/>
        </w:rPr>
        <w:t xml:space="preserve">имеющие основной вид экономической деятельности «Деятельность многоцелевых центров и подобных заведений с преобладанием культурного обслуживания (подгруппа 90.04.2) или «Деятельность учреждений клубного типа: клубов, дворцов и домов культуры, домов народного творчества» (подгруппа 90.04.3) в соответствии </w:t>
      </w:r>
      <w:r>
        <w:rPr>
          <w:color w:val="000000" w:themeColor="text1"/>
          <w:szCs w:val="24"/>
        </w:rPr>
        <w:t xml:space="preserve">с Общероссийским классификатором видов экономической деятельности (ОКВЭД2) ОК 029-2014 (КДЕС Ред. 2), принятым и введенным в действие Приказом Федерального агентства по техническому регулированию и метрологии от 31 января 2014 г. № 14-ст </w:t>
      </w:r>
      <w:r>
        <w:rPr>
          <w:szCs w:val="24"/>
        </w:rPr>
        <w:t>(далее – ОКВЭД2);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pacing w:val="-2"/>
          <w:szCs w:val="24"/>
        </w:rPr>
        <w:t>юридические лица</w:t>
      </w:r>
      <w:r>
        <w:rPr>
          <w:szCs w:val="24"/>
        </w:rPr>
        <w:t xml:space="preserve">, </w:t>
      </w:r>
      <w:r>
        <w:rPr>
          <w:spacing w:val="-2"/>
          <w:szCs w:val="24"/>
        </w:rPr>
        <w:t xml:space="preserve">осуществляющие </w:t>
      </w:r>
      <w:r>
        <w:rPr>
          <w:color w:val="000000"/>
          <w:szCs w:val="24"/>
        </w:rPr>
        <w:t xml:space="preserve">один из видов своей экономической деятельности </w:t>
      </w:r>
      <w:r>
        <w:rPr>
          <w:szCs w:val="24"/>
        </w:rPr>
        <w:t xml:space="preserve">«Деятельность многоцелевых центров и подобных заведений с преобладанием культурного обслуживания (подгруппа 90.04.2) или «Деятельность учреждений клубного типа: клубов, дворцов и домов культуры, домов народного творчества» (подгруппа 90.04.3) в соответствии с </w:t>
      </w:r>
      <w:r>
        <w:rPr>
          <w:color w:val="000000"/>
          <w:szCs w:val="24"/>
        </w:rPr>
        <w:t>ОКВЭД2</w:t>
      </w:r>
      <w:r>
        <w:rPr>
          <w:spacing w:val="-2"/>
          <w:szCs w:val="24"/>
        </w:rPr>
        <w:t xml:space="preserve"> и </w:t>
      </w:r>
      <w:r>
        <w:rPr>
          <w:szCs w:val="24"/>
        </w:rPr>
        <w:t>имеющие в своем составе обособленные подразделения</w:t>
      </w:r>
      <w:r>
        <w:rPr>
          <w:rStyle w:val="af5"/>
          <w:szCs w:val="24"/>
        </w:rPr>
        <w:footnoteReference w:id="1"/>
      </w:r>
      <w:r>
        <w:rPr>
          <w:szCs w:val="24"/>
        </w:rPr>
        <w:t>, являющиеся клубными формированиями или коллективами художественного любительского творчества;</w:t>
      </w:r>
    </w:p>
    <w:p w:rsidR="00EF2239" w:rsidRDefault="006510BF">
      <w:pPr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>органы местного самоуправления, осуществляющие управление в сфере культуры;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исполнительные органы субъекта Российской Федерации, осуществляющие управление в сфере культуры.</w:t>
      </w:r>
    </w:p>
    <w:p w:rsidR="00EF2239" w:rsidRDefault="006510BF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Вновь открытые (закрытые) в течение отчетного периода организации или поменявшие подчиненность (ведомство), вместе с данными по форме предоставляют документ об основании для открытия (закрытия) организации (дата и номер приказа, постановления, решения). Вновь открытые организации дополнительно предоставляют документ о регистрации (дата регистрации, номер свидетельства о регистрации, наименование органа, выдавшего свидетельство).</w:t>
      </w:r>
      <w:bookmarkStart w:id="0" w:name="_GoBack"/>
      <w:bookmarkEnd w:id="0"/>
      <w:r>
        <w:rPr>
          <w:color w:val="000000"/>
          <w:szCs w:val="24"/>
        </w:rPr>
        <w:t xml:space="preserve"> В случае закрытия или реорганизации структурных подразделений данные по форме за них не предоставляются. Данные об их деятельности за период работы отражаются в отчетах учредителя или организации – правопреемника культурно-досуговой организации.</w:t>
      </w:r>
    </w:p>
    <w:p w:rsidR="00EF2239" w:rsidRDefault="006510BF">
      <w:pPr>
        <w:ind w:firstLine="709"/>
        <w:jc w:val="both"/>
      </w:pPr>
      <w:r>
        <w:t>При наличии у юридического лица обособленных подразделений данные по форме предоставляются по каждому обособленному подразделению.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Руководитель юридического лица назначает должностных лиц, уполномоченных предоставлять </w:t>
      </w:r>
      <w:r>
        <w:t xml:space="preserve">данные </w:t>
      </w:r>
      <w:r>
        <w:rPr>
          <w:szCs w:val="24"/>
        </w:rPr>
        <w:t>от имени юридического лица.</w:t>
      </w:r>
    </w:p>
    <w:p w:rsidR="00EF2239" w:rsidRDefault="006510BF">
      <w:pPr>
        <w:tabs>
          <w:tab w:val="left" w:pos="4535"/>
        </w:tabs>
        <w:ind w:firstLine="709"/>
        <w:jc w:val="both"/>
        <w:rPr>
          <w:szCs w:val="24"/>
        </w:rPr>
      </w:pPr>
      <w:r>
        <w:rPr>
          <w:szCs w:val="24"/>
        </w:rPr>
        <w:t>2. 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краткое ее наименование. На бланке формы, содержащей данные по обособленному подразделению юридического лица, указывается наименование обособленного подразделения и юридического лица, к которому оно относится.</w:t>
      </w:r>
    </w:p>
    <w:p w:rsidR="00EF2239" w:rsidRDefault="006510BF">
      <w:pPr>
        <w:ind w:firstLine="709"/>
        <w:jc w:val="both"/>
      </w:pPr>
      <w:r>
        <w:lastRenderedPageBreak/>
        <w:t>3. По строке «Почтовый адрес» указывается наименование субъекта Российской Федерации, юридический адрес с почтовым индексом, указанный в Единый государственный реестр юридических лиц; либо адрес, по которому юридическое лицо фактически осуществляет свою деятельность, если он не совпадает с юридическим адресом. Для обособленных подразделений, не имеющих юридического адреса, указывается почтовый адрес с почтовым индексом.</w:t>
      </w:r>
    </w:p>
    <w:p w:rsidR="00EF2239" w:rsidRDefault="006510BF">
      <w:pPr>
        <w:ind w:firstLine="709"/>
        <w:jc w:val="both"/>
      </w:pPr>
      <w:r>
        <w:t>4. </w:t>
      </w:r>
      <w:r>
        <w:rPr>
          <w:color w:val="000000"/>
        </w:rPr>
        <w:t>Юридическое лицо проставляет в кодовой части формы в графе 2 титульного листа код по общероссийскому классификатору предприятий и организаций (ОКПО) или идентификационный номер (для территориально обособленного подразделения юридического лица) на основании Уведомления о присвоении кода ОКПО (идентификационного номера), размещенный на сайте системы сбора отчетности Федеральной службы государственной статистики в информационно-телекоммуникационной сети «</w:t>
      </w:r>
      <w:r>
        <w:t>Интернет»: https://websbor.rosstat.gov.ru/online/info.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5. Учредитель (учредители) организации культурно-досугового типа указывается (указываются) в соответствии с записью в учредительных документах, а затем его (их) организационно-правовая форма и форма собственности. </w:t>
      </w:r>
    </w:p>
    <w:p w:rsidR="00EF2239" w:rsidRDefault="006510BF">
      <w:pPr>
        <w:ind w:firstLine="709"/>
        <w:jc w:val="both"/>
      </w:pPr>
      <w:r>
        <w:rPr>
          <w:color w:val="000000"/>
          <w:szCs w:val="24"/>
        </w:rPr>
        <w:t>6. </w:t>
      </w:r>
      <w:r>
        <w:t>Строка «Код основного вида экономической деятельности юридического лица по ОКВЭД2» заполняется в соответствии с записью в Едином государственном реестре юридических лиц и группировками по ОКВЭД2.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7. Юридическое лицо – организация, подведомственная органу управления в сфере культуры, при наличии обособленных подразделений, в раздел 4 включает данные в целом.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Обособленные подразделения, входящие в состав юридического лица и осуществляющие культурно-досуговую деятельность, разделы 1, 2 и 3 – заполняют, раздел 4 –  не заполняют.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Органы исполнительной власти субъекта Российской Федерации, осуществляющие управление в сфере культуры, в сводной форме разделы 1, 2 и 3 – заполняют, раздел 4 – не заполняют. 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>8.</w:t>
      </w:r>
      <w:r>
        <w:rPr>
          <w:szCs w:val="24"/>
        </w:rPr>
        <w:t> Данные по форме предоставляются организацией – респондентом формы (далее – организацией) на конец отчетного года и содержат информацию за период с 1 января по 31 декабря.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Данные приводятся в тех единицах измерения, которые указаны в форме.</w:t>
      </w:r>
    </w:p>
    <w:p w:rsidR="00EF2239" w:rsidRDefault="006510BF">
      <w:pPr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Источником формирования данных по форме являются первичные учетные документы в соответствии с нормативными актами организации.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При предоставлении данных по форме должна быть обеспечена их полнота и достоверность.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9. Исключительно в целях заполнения данных по форме используются следующие понятия: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Организация культурно-досугового типа – организация (учреждение) независимо от организационно-правовой формы и формы собственности, основная деятельность которой направлена на предоставление/выполнение разнообразных услуг/работ культурно-досугового, информационно-просветительского и развлекательного характера, а также на создание условий для занятий любительским художественным, декоративно-прикладным, изобразительным и техническим творчеством, развития любительского искусства, традиционных художественных промыслов и ремесел.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Организации культурно-досугового типа имеют следующие виды: клуб, Дом культуры, Дворец культуры, Центр (Дом) по направлениям культурно-досуговой деятельности, Центр культурного развития, клубная система, Централизованная клубная система, Передвижное клубное учреждение.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Клуб – вид культурно-досуговой организации, осуществляющей досуг населения и создающей условия для развития народного творчества, в том числе через деятельность клубных формирований и коллективов художественного любительского творчества. Обладает небольшими </w:t>
      </w:r>
      <w:r>
        <w:rPr>
          <w:sz w:val="24"/>
          <w:szCs w:val="24"/>
        </w:rPr>
        <w:lastRenderedPageBreak/>
        <w:t>мощностными параметрами и штатной численностью, преимущественно располагается в сельской местности. Может являться самостоятельным юридическим лицом или филиалом Дома культуры.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Дом культуры – вид культурно-досуговой организации, обладающей большими, чем клуб, характеристиками по параметрам мощности, оснащения и штатной численности. Может иметь расширенную зону обслуживания и наличие филиалов. Располагается в районных центрах и крупных сельских поселениях, являясь районным домом культуры.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Дворец культуры – крупная культурно-досуговая организация, являющаяся самостоятельным юридическим лицом, оснащенная оборудованием, штатной численностью, отличающаяся расширенной зоной обслуживания и наличием филиалов. Располагается в населенном пункте с развитой инфраструктурой.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Центры (Дома) – культурно-досуговые организации однопрофильные или с приоритетным направлением деятельности: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народного творчества;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хореографического искусства;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фольклора;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национальных культур;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народных промыслов и ремесел и т.д.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Центр культурного развития (ЦКР) – вид культурно-досуговой организации. Организация, объединяющая услуги домов культуры, библиотек, музеев, кинозалов, концертных залов, выставочных и спортивных залов, оснащенная телекоммуникационными технологиями. Учредитель ЦКР определяет функциональные особенности и приоритетные направления деятельности центра (кинопоказы, проведение театральных постановок, выставок, предоставление дополнительного художественного образования и т.д.).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Клубная система – совокупность (сеть) взаимодействующих клубных организаций, объединенных на определенных договорных условиях или добровольных началах, в целях полного и качественного удовлетворения культурно-досуговых запросов населения и эффективного использования всех ресурсов клубных организаций.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Централизованная клубная система – объединение, представляющее собой целостную культурно-досуговую организацию, функционирующую на основе общего управления, единого штата, организационного и технологического единства. ЦКС состоит из центрального культурно-досугового учреждения и клубов-филиалов.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Передвижное клубное учреждение – ПКУ, осуществляющее свою работу с целью многофункционального использования организации досуга жителей отдаленных населенных пунктов, не имеющих культурно-досуговых организаций.</w:t>
      </w:r>
    </w:p>
    <w:p w:rsidR="00EF2239" w:rsidRDefault="006510BF">
      <w:pPr>
        <w:pStyle w:val="a4"/>
        <w:tabs>
          <w:tab w:val="left" w:pos="851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Культурно-досуговая деятельность – деятельность по организации и проведению культурно-досуговых мероприятий.</w:t>
      </w:r>
    </w:p>
    <w:p w:rsidR="00EF2239" w:rsidRDefault="006510BF">
      <w:pPr>
        <w:pStyle w:val="110"/>
        <w:widowControl/>
        <w:spacing w:before="1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Раздел 1. Материально-техническая база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2 указывается число зданий, постоянно используемых отчитывающейся организацией для осуществления культурно-досуговой деятельности, включая здания, принадлежащие иным организациям (в том числе, в случае использования в них отдельных помещений).</w:t>
      </w:r>
      <w:r>
        <w:t xml:space="preserve"> Если у организации несколько зданий, используемых для культурно-досуговой деятельности частично, то показывается суммарное число таких зданий.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графах 3, 4 и 5 (из графы 2) указывается число зданий с наличием безбарьерной среды для лиц с нарушениями: зрения (графа 4), слуха (графа 5), опорно-двигательного аппарата (графа 6). Данные вносятся об объектах, соответствующих «СП 59.13330.2020 Свод Правил. Доступность </w:t>
      </w:r>
      <w:r>
        <w:rPr>
          <w:szCs w:val="24"/>
        </w:rPr>
        <w:lastRenderedPageBreak/>
        <w:t xml:space="preserve">зданий и сооружений для маломобильных групп населения СНиП 35-01-2001», утвержденному приказом Министерства строительства и жилищно-коммунального хозяйства Российской Федерации от 30 декабря 2020 г. № 904/пр, а также при наличии ассистивных средств с учетом разумного приспособления, если объект невозможно приспособить полностью. Основанием для заполнения указанных граф является паспорт доступности организации.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графе 6 (из графы 2) указывается число зданий, находящихся в </w:t>
      </w:r>
      <w:r>
        <w:rPr>
          <w:spacing w:val="-6"/>
          <w:szCs w:val="24"/>
        </w:rPr>
        <w:t>оперативном управлении или хозяйственном ведении</w:t>
      </w:r>
      <w:r>
        <w:rPr>
          <w:szCs w:val="24"/>
        </w:rPr>
        <w:t>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7 (из графы 2) указывается число зданий, используемых организацией по договору аренды.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8 (из графы 2) указывается число зданий, используемых на других правовых основаниях (собственность, по договору безвозмездного пользования</w:t>
      </w:r>
      <w:r>
        <w:t xml:space="preserve"> включая здания, принадлежащие иным организациям, в которых используются отдельные помещения для культурно-досуговой деятельности</w:t>
      </w:r>
      <w:r>
        <w:rPr>
          <w:szCs w:val="24"/>
        </w:rPr>
        <w:t>).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Графы 9 и 10 (из графы 6) характеризуют техническое состояние зданий, находящихся в оперативном управлении или хозяйственном ведении. Они заполняются на основании актов, заключений и иных документов.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11 указывается общее число помещений, постоянно используемых отчитывающейся организацией для осуществления культурно-досуговой деятельности.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Графы 12 и 13 (из графы 11) характеризуют техническое состояние помещений. Они заполняются на основании актов, заключений и иных документов.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14 (из графы 11) указывается число арендованных помещений.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15 (из графы 11) указывается число зрительных залов. Необходимыми условиями учета таких помещений являются: наличие сцены (места выступления), наличие или возможность использования радиотехнического оборудования, возможность размещения зрителей (наличие стационарно установленных или перемещаемых зрительских кресел).</w:t>
      </w:r>
    </w:p>
    <w:p w:rsidR="00EF2239" w:rsidRDefault="006510BF">
      <w:pPr>
        <w:pStyle w:val="33"/>
        <w:rPr>
          <w:szCs w:val="24"/>
          <w:lang w:val="ru-RU"/>
        </w:rPr>
      </w:pPr>
      <w:r>
        <w:rPr>
          <w:szCs w:val="24"/>
          <w:lang w:val="ru-RU"/>
        </w:rPr>
        <w:t>В графе 16 указывается число мест в зрительных залах (стационарно установленных или перемещаемых).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17 (из графы 11) указывается общее число помещений, используемых для различных видов культурно-досуговой деятельности (музейная и библиотечная деятельность, работа кружков, проведение репетиций, занятий).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18 указывается общая площадь помещений, используемых для различных видов культурно-досуговой деятельности, общее число которых приведено в графе 17.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19 (из графы 17) приводится число помещений, используемых для музейной и библиотечной деятельности.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графах 20 и 21 (графы 18) указывается площадь помещений, используемых для музейной (графа 20) и библиотечной (графа 21) деятельности.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22 указывается информация о возможности использования информационно-телекоммуникационной сети «Интернет» (далее</w:t>
      </w:r>
      <w:r>
        <w:rPr>
          <w:szCs w:val="24"/>
          <w:lang w:val="en-US"/>
        </w:rPr>
        <w:t> </w:t>
      </w:r>
      <w:r>
        <w:rPr>
          <w:szCs w:val="24"/>
        </w:rPr>
        <w:t xml:space="preserve">– Интернет) при осуществлении отчитывающейся организацией различных видов своей финансово-хозяйственной деятельности (как основных видов уставной, так и административно-управленческой деятельности). В случае наличия возможности использования Интернета в графу проставляется значение – «1», в противном случае – «0».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23 указывается информация о возможности посетителей и участников культурно-досуговых формирований получить доступ в Интернет в помещениях отчитывающей организации. В случае наличия такой возможности в графу проставляется значение – «1», в противном случае – «0».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В графе 24 ставится «1» при наличии собственного сайта в информационно-телекоммуникационной сети «Интернет» (далее – Интернет-сайт), официально зарегистрированного и имеющего уникальный домен в сети Интернет (состоящего на балансе организации), в</w:t>
      </w:r>
      <w:r>
        <w:rPr>
          <w:szCs w:val="24"/>
          <w:lang w:val="en-US"/>
        </w:rPr>
        <w:t> </w:t>
      </w:r>
      <w:r>
        <w:rPr>
          <w:szCs w:val="24"/>
        </w:rPr>
        <w:t>противном случае – «0».</w:t>
      </w:r>
    </w:p>
    <w:p w:rsidR="00EF2239" w:rsidRDefault="006510BF">
      <w:pPr>
        <w:ind w:firstLine="709"/>
        <w:jc w:val="both"/>
      </w:pPr>
      <w:r>
        <w:rPr>
          <w:szCs w:val="24"/>
        </w:rPr>
        <w:t xml:space="preserve">В графе 25 ставится «1» при наличии собственного Интернет-сайта, официально зарегистрированного и имеющего уникальный домен </w:t>
      </w:r>
      <w:r>
        <w:rPr>
          <w:szCs w:val="24"/>
        </w:rPr>
        <w:br w:type="textWrapping" w:clear="all"/>
        <w:t xml:space="preserve">в Интернете (состоящего на балансе организации), в соответствии с «ГОСТ Р 52872-2019. 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жизнедеятельности», утвержденным приказом Росстандарта от 29 августа 2019 г. № 589-ст, </w:t>
      </w:r>
      <w:r>
        <w:t xml:space="preserve">в противном случае </w:t>
      </w:r>
      <w:r>
        <w:rPr>
          <w:szCs w:val="24"/>
        </w:rPr>
        <w:t>–</w:t>
      </w:r>
      <w:r>
        <w:t xml:space="preserve"> «0».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графе 26 </w:t>
      </w:r>
      <w:r>
        <w:t>указывается число специализированного оборудования для инвалидов (</w:t>
      </w:r>
      <w:r>
        <w:rPr>
          <w:rFonts w:eastAsia="Cambria"/>
          <w:szCs w:val="24"/>
        </w:rPr>
        <w:t>колясок, скалоходов</w:t>
      </w:r>
      <w:r>
        <w:t xml:space="preserve">). </w:t>
      </w:r>
      <w:r>
        <w:rPr>
          <w:szCs w:val="24"/>
          <w:shd w:val="clear" w:color="auto" w:fill="FFFFFF"/>
        </w:rPr>
        <w:t xml:space="preserve">Элементы полноценной архитектурной среды (зданий и сооружений или их части), обеспечивающие необходимый уровень доступности для всех категорий населения </w:t>
      </w:r>
      <w:r>
        <w:rPr>
          <w:szCs w:val="24"/>
        </w:rPr>
        <w:t>(поручни, мнемосхемы, тактильные предупреждающие полосы и тому подобное), при заполнении графы не учитываются.</w:t>
      </w:r>
    </w:p>
    <w:p w:rsidR="00EF2239" w:rsidRDefault="006510BF">
      <w:pPr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В графе 27 указывается число </w:t>
      </w:r>
      <w:r>
        <w:rPr>
          <w:rStyle w:val="aff5"/>
          <w:bCs/>
          <w:i w:val="0"/>
          <w:iCs w:val="0"/>
          <w:shd w:val="clear" w:color="auto" w:fill="FFFFFF"/>
        </w:rPr>
        <w:t>состоящих на балансе</w:t>
      </w:r>
      <w:r>
        <w:rPr>
          <w:szCs w:val="24"/>
        </w:rPr>
        <w:t xml:space="preserve"> у отчитывающейся организации или ее учредителя специализированных транспортных средств (автоклубы, </w:t>
      </w:r>
      <w:r>
        <w:rPr>
          <w:szCs w:val="24"/>
          <w:shd w:val="clear" w:color="auto" w:fill="FFFFFF"/>
        </w:rPr>
        <w:t>библиобусы, библиомобили).</w:t>
      </w:r>
    </w:p>
    <w:p w:rsidR="00EF2239" w:rsidRDefault="006510BF">
      <w:pPr>
        <w:ind w:firstLine="709"/>
        <w:jc w:val="both"/>
        <w:rPr>
          <w:strike/>
          <w:szCs w:val="24"/>
        </w:rPr>
      </w:pPr>
      <w:r>
        <w:rPr>
          <w:szCs w:val="24"/>
          <w:shd w:val="clear" w:color="auto" w:fill="FFFFFF"/>
        </w:rPr>
        <w:t xml:space="preserve">В графе 28 (из графы 27) </w:t>
      </w:r>
      <w:r>
        <w:rPr>
          <w:szCs w:val="24"/>
        </w:rPr>
        <w:t xml:space="preserve">указывается число автоклубов, имеющихся у отчитывающейся организации или ее учредителя.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Если специализированные транспортные средства используются учредителем и обособленным подразделением, то графы 27 и 28 заполняются только учредителем юридического лица.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графе 29 указывается </w:t>
      </w:r>
      <w:r>
        <w:rPr>
          <w:rFonts w:eastAsia="Cambria"/>
          <w:szCs w:val="24"/>
          <w:lang w:eastAsia="en-US"/>
        </w:rPr>
        <w:t>количество сельских населенных пунктов,</w:t>
      </w:r>
      <w:r>
        <w:rPr>
          <w:szCs w:val="24"/>
        </w:rPr>
        <w:t xml:space="preserve"> не имевших стационарных организаций культуры и </w:t>
      </w:r>
      <w:r>
        <w:rPr>
          <w:rFonts w:eastAsia="Cambria"/>
          <w:szCs w:val="24"/>
          <w:lang w:eastAsia="en-US"/>
        </w:rPr>
        <w:t xml:space="preserve">обслуживаемых </w:t>
      </w:r>
      <w:r>
        <w:rPr>
          <w:rFonts w:eastAsia="Cambria"/>
          <w:szCs w:val="24"/>
          <w:lang w:eastAsia="en-US"/>
        </w:rPr>
        <w:br w:type="textWrapping" w:clear="all"/>
        <w:t>автоклубами</w:t>
      </w:r>
      <w:r>
        <w:rPr>
          <w:bCs/>
          <w:szCs w:val="24"/>
        </w:rPr>
        <w:t xml:space="preserve"> </w:t>
      </w:r>
      <w:r>
        <w:rPr>
          <w:szCs w:val="24"/>
        </w:rPr>
        <w:t>в отчетном году.</w:t>
      </w:r>
    </w:p>
    <w:p w:rsidR="00EF2239" w:rsidRDefault="006510BF">
      <w:pPr>
        <w:spacing w:before="120" w:after="120"/>
        <w:ind w:firstLine="709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Раздел 2. Клубные формирования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В разделе приводятся данные по всем культурно-досуговым формированиям отчитывающейся организации (народные университеты, любительские объединения и клубы по интересам, кружки и коллективы </w:t>
      </w:r>
      <w:r>
        <w:rPr>
          <w:color w:val="000000"/>
          <w:spacing w:val="-2"/>
          <w:szCs w:val="24"/>
        </w:rPr>
        <w:t>самодеятельного (любительского)</w:t>
      </w:r>
      <w:r>
        <w:rPr>
          <w:szCs w:val="24"/>
        </w:rPr>
        <w:t xml:space="preserve"> народного и технического творчества, школы и курсы прикладных знаний и навыков, спортивные и тренажерные секции), действующим на конец отчетного года. Формирования, действовавшие в течение года, но завершившие программу работы до конца отчетного года, также включаются в форму. </w:t>
      </w:r>
    </w:p>
    <w:p w:rsidR="00EF2239" w:rsidRDefault="006510BF">
      <w:pPr>
        <w:pStyle w:val="33"/>
        <w:rPr>
          <w:szCs w:val="24"/>
          <w:lang w:val="ru-RU"/>
        </w:rPr>
      </w:pPr>
      <w:r>
        <w:rPr>
          <w:szCs w:val="24"/>
          <w:lang w:val="ru-RU"/>
        </w:rPr>
        <w:t>Данные раздела заполняются на основании журнала учета клубных формирований путем подсчета числа участников в них. Лица, участвующие в нескольких кружках, секциях, учитываются по каждому из них в отдельности.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Данные содержат: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число формирований (указывается по строке 02); </w:t>
      </w:r>
    </w:p>
    <w:p w:rsidR="00EF2239" w:rsidRDefault="006510BF">
      <w:pPr>
        <w:pStyle w:val="33"/>
        <w:rPr>
          <w:szCs w:val="24"/>
          <w:lang w:val="ru-RU"/>
        </w:rPr>
      </w:pPr>
      <w:r>
        <w:rPr>
          <w:szCs w:val="24"/>
          <w:lang w:val="ru-RU"/>
        </w:rPr>
        <w:t>численность участников в них (указывается по строке 03).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графе 3 (</w:t>
      </w:r>
      <w:r>
        <w:rPr>
          <w:rStyle w:val="aff4"/>
          <w:sz w:val="24"/>
          <w:szCs w:val="24"/>
        </w:rPr>
        <w:t>с</w:t>
      </w:r>
      <w:r>
        <w:rPr>
          <w:sz w:val="24"/>
          <w:szCs w:val="24"/>
        </w:rPr>
        <w:t>умма граф 6 и 8) приводятся данные (общее число клубных формирований и численность участников в них) по всем культурно-досуговым формированиям.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4 приводятся данные по формированиям для детей до 14 лет включительно.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5 приводятся данные по формированиям для молодежи от 15 до 35 лет включительно.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6 (из графы 3) приводятся данные по формированиям, относящимся к любительским объединениям, группам, клубам по интересам.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В графе 7 (из графы 3) приводятся данные по инклюзивным формированиям, то есть включающим в состав инвалидов и лиц с ограниченными возможностями здоровья (далее </w:t>
      </w:r>
      <w:r>
        <w:rPr>
          <w:rFonts w:ascii="Symbol" w:eastAsia="Symbol" w:hAnsi="Symbol" w:cs="Symbol"/>
          <w:szCs w:val="24"/>
        </w:rPr>
        <w:t></w:t>
      </w:r>
      <w:r>
        <w:rPr>
          <w:szCs w:val="24"/>
        </w:rPr>
        <w:t xml:space="preserve"> ОВЗ).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8 (из графы 3) приводятся данные по прочим клубным формированиям: кружкам, творческим коллективам, секциям, студиям любительского художественного, декоративно-прикладного, изобразительного и технического творчества, занятиям на факультетах народных университетов, курсам прикладных знаний и навыков, творческим лабораториям.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графах 9 ‒ 11 (из графы 8) приводятся данные по прочим клубным формированиям, в том числе: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данные по прочим клубным формированиям для детей до 14 лет включительно (графа 9);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данные по прочим клубным формированиям для молодежи от 15 до 35 лет включительно (графа 10);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данные по клубным формированиям самодеятельного (любительского) народного творчества (графа 11).</w:t>
      </w:r>
    </w:p>
    <w:p w:rsidR="00EF2239" w:rsidRDefault="006510BF">
      <w:pPr>
        <w:pStyle w:val="33"/>
        <w:rPr>
          <w:szCs w:val="24"/>
          <w:lang w:val="ru-RU"/>
        </w:rPr>
      </w:pPr>
      <w:r>
        <w:rPr>
          <w:szCs w:val="24"/>
          <w:lang w:val="ru-RU"/>
        </w:rPr>
        <w:t xml:space="preserve">В графах 12 ‒ 14 (из графы 11) приводятся данные по клубным формированиям </w:t>
      </w:r>
      <w:r>
        <w:rPr>
          <w:color w:val="000000"/>
          <w:spacing w:val="-2"/>
          <w:szCs w:val="24"/>
          <w:lang w:val="ru-RU"/>
        </w:rPr>
        <w:t>самодеятельного (любительского)</w:t>
      </w:r>
      <w:r>
        <w:rPr>
          <w:spacing w:val="-2"/>
          <w:szCs w:val="24"/>
          <w:lang w:val="ru-RU"/>
        </w:rPr>
        <w:t xml:space="preserve"> </w:t>
      </w:r>
      <w:r>
        <w:rPr>
          <w:szCs w:val="24"/>
          <w:lang w:val="ru-RU"/>
        </w:rPr>
        <w:t>народного творчества для детей до 14 лет включительно (графа 12), для молодежи от 15 до 35 лет включительно (графа 13) и клубным формированиям самостоятельного (любительского) народного творчества, работающим на платной основе (графа 14).</w:t>
      </w:r>
    </w:p>
    <w:p w:rsidR="00EF2239" w:rsidRDefault="006510BF">
      <w:pPr>
        <w:ind w:firstLine="709"/>
        <w:jc w:val="both"/>
        <w:rPr>
          <w:rFonts w:eastAsia="Cambria"/>
          <w:szCs w:val="24"/>
          <w:lang w:eastAsia="en-US"/>
        </w:rPr>
      </w:pPr>
      <w:r>
        <w:rPr>
          <w:szCs w:val="24"/>
        </w:rPr>
        <w:t>В графах 15 и 16 (из графы 8) приводятся данные по</w:t>
      </w:r>
      <w:r>
        <w:rPr>
          <w:rFonts w:eastAsia="Cambria"/>
          <w:szCs w:val="24"/>
          <w:lang w:eastAsia="en-US"/>
        </w:rPr>
        <w:t xml:space="preserve"> формированиям/кружкам технического творчества (графа 15) и спортивным формированиям/кружкам (графа 16).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В графах 17 ‒ 52 (из графы 11) по различным видам клубных формирований </w:t>
      </w:r>
      <w:r>
        <w:rPr>
          <w:color w:val="000000"/>
          <w:spacing w:val="-2"/>
          <w:szCs w:val="24"/>
        </w:rPr>
        <w:t>самодеятельного (любительского)</w:t>
      </w:r>
      <w:r>
        <w:rPr>
          <w:spacing w:val="-2"/>
          <w:szCs w:val="24"/>
        </w:rPr>
        <w:t xml:space="preserve"> народного творчества, в том числе: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вокальным (графы 17 ‒ 24);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хореографическим (графы 25 ‒ 30);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инструментальным (графы 31 ‒ 41);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театральным (графы 42 ‒ 46);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фольклорные (графа 47);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изобразительного искусства (графа 48);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декоративно-прикладного искусства (графа 49);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кино-фото-видео-любителей (графа 50);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циркового искусства (графа 51);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прочим (графа 52).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При заполнении графы 30 следует учитывать </w:t>
      </w:r>
      <w:r>
        <w:rPr>
          <w:szCs w:val="24"/>
        </w:rPr>
        <w:t xml:space="preserve">разноплановые хореографические коллективы, которые работают в двух и более направлениях, </w:t>
      </w:r>
      <w:r>
        <w:rPr>
          <w:spacing w:val="-2"/>
          <w:szCs w:val="24"/>
        </w:rPr>
        <w:t>перечисленных в столбцах 26 ‒ 29.</w:t>
      </w:r>
    </w:p>
    <w:p w:rsidR="00EF2239" w:rsidRDefault="006510BF">
      <w:pPr>
        <w:ind w:firstLine="709"/>
        <w:jc w:val="both"/>
      </w:pPr>
      <w:r>
        <w:t xml:space="preserve">В графах 53 – 55 (из графы 8) указывается число коллективов, имеющих звание народный (графа 53), образцовый (графа 54) или заслуженный коллектив народного творчества (графа 55). Коллектив, получивший или подтвердивший в отчетном году звание, учитывается в одной из граф 53, 54 или 55. </w:t>
      </w:r>
    </w:p>
    <w:p w:rsidR="00EF2239" w:rsidRDefault="006510BF">
      <w:pPr>
        <w:ind w:firstLine="709"/>
        <w:jc w:val="both"/>
        <w:rPr>
          <w:color w:val="7B7B7B"/>
          <w:spacing w:val="-2"/>
          <w:szCs w:val="24"/>
        </w:rPr>
      </w:pPr>
      <w:r>
        <w:t xml:space="preserve">В графах 56 – 58 (из графы 8) указывается число коллективов (не количество конкурсов (фестивалей), участвовавших в конкурсах (фестивалях) различных уровней (международных, всероссийских, региональных), которые стали победителями и обладателями дипломов лауреата, дипломов/грамот победителей, дипломов Гран-при соответствующего уровня. Если один и тот же коллектив (или участник) принимал участие во всех трех видах конкурса (фестиваля), то </w:t>
      </w:r>
      <w:r>
        <w:rPr>
          <w:szCs w:val="24"/>
        </w:rPr>
        <w:t>в графах 56, 57 и 58 проставляется – «1».</w:t>
      </w:r>
    </w:p>
    <w:p w:rsidR="00EF2239" w:rsidRDefault="006510BF">
      <w:pPr>
        <w:spacing w:before="120" w:after="120"/>
        <w:ind w:firstLine="709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Раздел 3. Культурно-массовые мероприятия</w:t>
      </w:r>
    </w:p>
    <w:p w:rsidR="00EF2239" w:rsidRDefault="006510BF">
      <w:pPr>
        <w:ind w:firstLine="709"/>
        <w:jc w:val="both"/>
      </w:pPr>
      <w:r>
        <w:t>В разделе приводятся данные о культурно-массовых мероприятиях, проведенных респондентом в отчетный период. Под культурно-массовыми мероприятиями понимаются культурно-досуговые мероприятия (вечера отдыха, чествования, тематические вечера, выпускные, танцевальные/дискотеки, балы, праздники, игровые программы), а также информационно-просветительские мероприятия (литературно-музыкальные, видео-гостиные, встречи с деятелями культуры, науки, литературы, форумы, конференции, симпозиумы, съезды, круглые столы, семинары, мастер-классы, экспедиции, лекционные мероприятия, презентации). Классификация мероприятий должна соответствовать номенклатуре государственных и муниципальных услуг/работ, выполняемых организациями культурно-досугового типа Российской Федерации, которая определена распоряжением Минкультуры России от 18 сентября 2009 г. № Р-6.</w:t>
      </w:r>
    </w:p>
    <w:p w:rsidR="00EF2239" w:rsidRDefault="006510BF">
      <w:pPr>
        <w:ind w:firstLine="709"/>
        <w:jc w:val="both"/>
      </w:pPr>
      <w:r>
        <w:t>Данные о культурно-массовых мероприятиях и их посещений включают:</w:t>
      </w:r>
    </w:p>
    <w:p w:rsidR="00EF2239" w:rsidRDefault="006510BF">
      <w:pPr>
        <w:ind w:firstLine="709"/>
        <w:jc w:val="both"/>
      </w:pPr>
      <w:r>
        <w:t>число мероприятий всего, проведенных в отчетный период (указывается по строке 04);</w:t>
      </w:r>
    </w:p>
    <w:p w:rsidR="00EF2239" w:rsidRDefault="006510BF">
      <w:pPr>
        <w:ind w:firstLine="709"/>
        <w:jc w:val="both"/>
        <w:rPr>
          <w:szCs w:val="24"/>
        </w:rPr>
      </w:pPr>
      <w:r>
        <w:t>число мероприятий, проведенных в отчетный период</w:t>
      </w:r>
      <w:r>
        <w:rPr>
          <w:szCs w:val="24"/>
        </w:rPr>
        <w:t xml:space="preserve"> на платной основе (из строки 04) (указывается по строке 05);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число посещений мероприятий (указывается по строке 06);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число посещений платных мероприятий, отраженных по строке 06, указывается по строке 07.</w:t>
      </w:r>
    </w:p>
    <w:p w:rsidR="00EF2239" w:rsidRDefault="006510BF">
      <w:pPr>
        <w:pStyle w:val="33"/>
        <w:rPr>
          <w:szCs w:val="24"/>
          <w:lang w:val="ru-RU"/>
        </w:rPr>
      </w:pPr>
      <w:r>
        <w:rPr>
          <w:szCs w:val="24"/>
          <w:lang w:val="ru-RU"/>
        </w:rPr>
        <w:t>Данные о культурно-массовых мероприятиях приводятся на основании содержания первичных учетных документов (журналов, отчетов). Число посещений культурно-массовых мероприятий учитывается по входным билетам или приглашениям (платным или бесплатным, также по листкам списка участников). Число посещений платных мероприятий должно совпадать с количеством проданных билетов или приглашений.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8"/>
        </w:rPr>
        <w:t xml:space="preserve">К учету принимаются данные о проведенных мероприятиях с физическим присутствием посетителей.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Данные о культурно-массовых мероприятиях не должны учитывать публичную демонстрацию киновидеофильмов, данные о билетах, которые передаются в единую федеральную автоматизированную информационную систему сведений о показе фильмов в кинозалах.</w:t>
      </w:r>
    </w:p>
    <w:p w:rsidR="00EF2239" w:rsidRDefault="006510BF">
      <w:pPr>
        <w:ind w:firstLine="709"/>
        <w:jc w:val="both"/>
      </w:pPr>
      <w:r>
        <w:t>При подсчете посещений культурно-массовых мероприятий, проводимых за счет бюджетов всех уровней или пожертвований без взимания платы, могут быть использованы следующие методики:</w:t>
      </w:r>
    </w:p>
    <w:p w:rsidR="00EF2239" w:rsidRDefault="006510BF">
      <w:pPr>
        <w:ind w:firstLine="709"/>
        <w:jc w:val="both"/>
      </w:pPr>
      <w:r>
        <w:t>для стационарных мероприятий в зале: прямой подсчет занятых посадочных мест; выдача билетов с нулевой стоимостью; на основе договора с организацией, заказавшей мероприятие, в котором отражено необходимое количество участников;</w:t>
      </w:r>
    </w:p>
    <w:p w:rsidR="00EF2239" w:rsidRDefault="006510BF">
      <w:pPr>
        <w:ind w:firstLine="709"/>
        <w:jc w:val="both"/>
      </w:pPr>
      <w:r>
        <w:t xml:space="preserve">для статичных мероприятий на уличной площадке: использование </w:t>
      </w:r>
      <w:r>
        <w:rPr>
          <w:rFonts w:eastAsia="Calibri"/>
          <w:szCs w:val="28"/>
        </w:rPr>
        <w:t>отчетов органов внутренних дел, привлекаемых для обеспечения безопасности при проведении массовых мероприятий</w:t>
      </w:r>
      <w:r>
        <w:rPr>
          <w:szCs w:val="28"/>
        </w:rPr>
        <w:t>;</w:t>
      </w:r>
      <w:r>
        <w:t xml:space="preserve"> </w:t>
      </w:r>
      <w:r>
        <w:rPr>
          <w:szCs w:val="28"/>
        </w:rPr>
        <w:t>электронный подсчет при установленных средствах контроля доступа в виде пропускных ворот;</w:t>
      </w:r>
      <w:r>
        <w:t xml:space="preserve"> </w:t>
      </w:r>
      <w:r>
        <w:rPr>
          <w:szCs w:val="28"/>
        </w:rPr>
        <w:t>использование результатов фото и видео фиксации;</w:t>
      </w:r>
      <w:r>
        <w:t xml:space="preserve"> подсчет </w:t>
      </w:r>
      <w:r>
        <w:rPr>
          <w:szCs w:val="28"/>
        </w:rPr>
        <w:t xml:space="preserve">по формуле </w:t>
      </w:r>
      <w:r>
        <w:rPr>
          <w:bCs/>
          <w:iCs/>
        </w:rPr>
        <w:t xml:space="preserve">Джейкобса: </w:t>
      </w:r>
      <w:r>
        <w:rPr>
          <w:szCs w:val="26"/>
          <w:shd w:val="clear" w:color="auto" w:fill="FFFFFF"/>
        </w:rPr>
        <w:t>1 человек на квадратный метр (люди стоят на расстоянии вытянутой руки), 2,4 человека на квадратный метр (плотная толпа, но между людьми все же можно пройти) и 4,3 человека на квадратный метр (люди стоят плечом к плечу) соответственн</w:t>
      </w:r>
      <w:r>
        <w:rPr>
          <w:szCs w:val="26"/>
        </w:rPr>
        <w:t>о;</w:t>
      </w:r>
    </w:p>
    <w:p w:rsidR="00EF2239" w:rsidRDefault="006510BF">
      <w:pPr>
        <w:ind w:firstLine="709"/>
        <w:jc w:val="both"/>
        <w:rPr>
          <w:szCs w:val="28"/>
          <w:shd w:val="clear" w:color="auto" w:fill="FFFFFF"/>
        </w:rPr>
      </w:pPr>
      <w:r>
        <w:rPr>
          <w:szCs w:val="26"/>
          <w:shd w:val="clear" w:color="auto" w:fill="FFFFFF"/>
        </w:rPr>
        <w:t xml:space="preserve">для динамичных мероприятий (митинги, шествия, карнавалы, демонстрации): </w:t>
      </w:r>
      <w:r>
        <w:rPr>
          <w:szCs w:val="28"/>
          <w:shd w:val="clear" w:color="auto" w:fill="FFFFFF"/>
        </w:rPr>
        <w:t>количество человек, проходящих через наблюдателя за единицу времени умноженное на время шествия;</w:t>
      </w:r>
      <w:r>
        <w:rPr>
          <w:szCs w:val="26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использование электронных средств подсчета.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3 указываются данные о культурно-массовых мероприятиях, проведенных в отчетном периоде.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графах 4 и 5 (из графы 3) указываются данные о культурно-массовых мероприятиях, проведенных в отчетном периоде для детей до 14 лет включительно (графа 4) и молодежи от 15 до 35 лет включительно (графа 5) соответственно.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6 (из графы 3) указываются данные о культурно-досуговых мероприятиях, проведенных в отчетном периоде.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В графах 7 ‒ 8 (из графы 6) указываются данные о культурно-досуговых мероприятиях для детей до 14 лет включительно (графа 7), для молодежи от 15 до 35 лет включительно (графа 8).</w:t>
      </w:r>
    </w:p>
    <w:p w:rsidR="00EF2239" w:rsidRDefault="006510BF">
      <w:pPr>
        <w:pStyle w:val="33"/>
        <w:rPr>
          <w:spacing w:val="-4"/>
          <w:szCs w:val="24"/>
          <w:lang w:val="ru-RU"/>
        </w:rPr>
      </w:pPr>
      <w:r>
        <w:rPr>
          <w:spacing w:val="-4"/>
          <w:szCs w:val="24"/>
          <w:lang w:val="ru-RU"/>
        </w:rPr>
        <w:t>В графе 9 (из графы 3) указываются данные о мероприятиях, проводимых с привлечением инвалидов и лиц с ОВЗ в качестве участников мероприятий.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графе 10 (из графы 3) указываются данные о мероприятиях, доступных для восприятия инвалидами и лицами с ОВЗ, то есть  оснащенных тифлокомментариями (для слепых и слабовидящих), </w:t>
      </w:r>
      <w:r>
        <w:rPr>
          <w:szCs w:val="24"/>
          <w:lang w:val="en-US"/>
        </w:rPr>
        <w:t>FM</w:t>
      </w:r>
      <w:r>
        <w:rPr>
          <w:szCs w:val="24"/>
        </w:rPr>
        <w:t>-системами со вспомогательным оборудованием или табло «бегущая строка» с комплектом пассивного и активного коммутационного оборудования для подключения (для лиц с нарушениями слуха), а также учитывающих размещение зрителей на креслах-колясках равномерно по объекту в пределах общей посадочной зоны или на специально отведенной для инвалидов на колясках территории, не ограничивающей восприятие мероприятия.</w:t>
      </w:r>
    </w:p>
    <w:p w:rsidR="00EF2239" w:rsidRDefault="006510BF">
      <w:pPr>
        <w:ind w:firstLine="709"/>
        <w:jc w:val="both"/>
        <w:rPr>
          <w:szCs w:val="28"/>
        </w:rPr>
      </w:pPr>
      <w:r>
        <w:rPr>
          <w:szCs w:val="24"/>
        </w:rPr>
        <w:t xml:space="preserve">В графе 11 (из графы 3) указываются данные о мероприятиях, проведенных с применением специализированных транспортных средств (автоклубы, </w:t>
      </w:r>
      <w:r>
        <w:rPr>
          <w:szCs w:val="24"/>
          <w:shd w:val="clear" w:color="auto" w:fill="FFFFFF"/>
        </w:rPr>
        <w:t xml:space="preserve">библиобусы, библиомобили). </w:t>
      </w:r>
      <w:r>
        <w:t xml:space="preserve">В число мероприятий входят </w:t>
      </w:r>
      <w:r>
        <w:rPr>
          <w:spacing w:val="-2"/>
          <w:szCs w:val="28"/>
        </w:rPr>
        <w:t xml:space="preserve">концертные и театрализованные </w:t>
      </w:r>
      <w:r>
        <w:rPr>
          <w:spacing w:val="-5"/>
          <w:szCs w:val="28"/>
        </w:rPr>
        <w:t xml:space="preserve">выступления на производственных </w:t>
      </w:r>
      <w:r>
        <w:rPr>
          <w:spacing w:val="-5"/>
          <w:szCs w:val="28"/>
        </w:rPr>
        <w:br w:type="textWrapping" w:clear="all"/>
        <w:t xml:space="preserve">площадках или во время </w:t>
      </w:r>
      <w:r>
        <w:rPr>
          <w:spacing w:val="-8"/>
          <w:szCs w:val="28"/>
        </w:rPr>
        <w:t>посевной и уборочной страды,</w:t>
      </w:r>
      <w:r>
        <w:rPr>
          <w:spacing w:val="-5"/>
          <w:szCs w:val="28"/>
        </w:rPr>
        <w:t xml:space="preserve"> </w:t>
      </w:r>
      <w:r>
        <w:t xml:space="preserve">агитационные обозрения и представления, тематические презентации, вечера-портреты, </w:t>
      </w:r>
      <w:r>
        <w:br w:type="textWrapping" w:clear="all"/>
        <w:t>вечера-встречи с ветеранами войны и труда, устные журналы, литературно-музыкальные композиции, праздники улиц и малых деревень,</w:t>
      </w:r>
      <w:r>
        <w:rPr>
          <w:szCs w:val="28"/>
        </w:rPr>
        <w:t xml:space="preserve"> игровые развлекательные программы, в том числе для детей и молодежи, тематические дискотеки.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8"/>
        </w:rPr>
        <w:t xml:space="preserve">В графе 12 (из графы 11) указываются данные о мероприятиях, проведенных в рамках выездов автоклубов в </w:t>
      </w:r>
      <w:r>
        <w:rPr>
          <w:rFonts w:eastAsia="Cambria"/>
          <w:szCs w:val="24"/>
          <w:lang w:eastAsia="en-US"/>
        </w:rPr>
        <w:t>сельские населенные пункты,</w:t>
      </w:r>
      <w:r>
        <w:rPr>
          <w:szCs w:val="24"/>
        </w:rPr>
        <w:t xml:space="preserve"> не имеющие стационарных организаций культуры и </w:t>
      </w:r>
      <w:r>
        <w:rPr>
          <w:rFonts w:eastAsia="Cambria"/>
          <w:szCs w:val="24"/>
          <w:lang w:eastAsia="en-US"/>
        </w:rPr>
        <w:t>обслуживаемые автоклубами</w:t>
      </w:r>
      <w:r>
        <w:rPr>
          <w:bCs/>
          <w:szCs w:val="24"/>
        </w:rPr>
        <w:t xml:space="preserve"> </w:t>
      </w:r>
      <w:r>
        <w:rPr>
          <w:szCs w:val="24"/>
        </w:rPr>
        <w:t>в отчетном году.</w:t>
      </w:r>
    </w:p>
    <w:p w:rsidR="00EF2239" w:rsidRDefault="006510BF">
      <w:pPr>
        <w:spacing w:before="120" w:after="120"/>
        <w:ind w:firstLine="709"/>
        <w:jc w:val="center"/>
        <w:rPr>
          <w:spacing w:val="-4"/>
          <w:szCs w:val="24"/>
        </w:rPr>
      </w:pPr>
      <w:r>
        <w:rPr>
          <w:b/>
          <w:bCs/>
          <w:szCs w:val="24"/>
        </w:rPr>
        <w:t>Раздел</w:t>
      </w:r>
      <w:r>
        <w:rPr>
          <w:b/>
          <w:bCs/>
          <w:spacing w:val="-4"/>
          <w:szCs w:val="24"/>
        </w:rPr>
        <w:t xml:space="preserve"> 4. Поступление</w:t>
      </w:r>
      <w:r>
        <w:rPr>
          <w:b/>
          <w:bCs/>
          <w:szCs w:val="24"/>
        </w:rPr>
        <w:t xml:space="preserve"> и использование финансовых средств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разделе на основании данных бухгалтерского учета показываются фактические суммы полученных и произведенных организациями поступлений и выплат финансовых средств.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Все данные в части финансовых показателей формируются на основании форм бухгалтерской отчетности: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0503737 «Отчет об исполнении учреждением плана его финансово-хозяйственной деятельности» (для государственных федеральных бюджетных, автономных учреждений);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0503723 «Отчет о движении денежных средств учреждения» (для государственных федеральных бюджетных, автономных учреждений);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0503127 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(для государственных казенных учреждений).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В графе 2 указываются все средства, поступившие за отчетный год на счета организации.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Для бюджетных и автономных учреждений за счет: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субсидий на финансовое обеспечение выполнения государственного (муниципального) задания;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субсидий, предоставляемых в соответствии с абзацем вторым пункта 1 статьи 78.1 Бюджетного кодекса Российской Федерации;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собственность;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грантов в форме субсидий, в том числе предоставляемых по результатам конкурсов;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поступлений от оказания учреждением услуг (выполнения работ), относящихся в соответствии с уставом учреждения к его основным видам </w:t>
      </w:r>
      <w:r>
        <w:rPr>
          <w:rFonts w:ascii="Times New Roman" w:hAnsi="Times New Roman"/>
          <w:spacing w:val="-4"/>
          <w:sz w:val="24"/>
        </w:rPr>
        <w:lastRenderedPageBreak/>
        <w:t>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деятельности, включая доходы от аренды имущества, находящегося в собственности, оперативном управлении или хозяйственном ведении учреждения;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поступлений от реализации ценных бумаг (для государственных автономных учреждений, а также государственных бюджетных учреждений в случаях, установленных федеральными законами).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Для казенных учреждений за счет средств бюджета соответствующего уровня на основании бюджетной сметы.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В графе 2 указывается общая сумма поступлений финансовых средств за отчетный период, которая складывается из бюджетных ассигнований учредителя (графа 3), финансирования из бюджетов других уровней (графа 4), поступлений от предпринимательской и иной приносящей доход деятельности (графа 5) и поступлений от сдачи имущества в аренду (графа 9). 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3 отражаются бюджетные ассигнования, полученные от учредителя.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В графе 4 </w:t>
      </w:r>
      <w:r>
        <w:t>отражаются средства, поступившие за отчетный год из бюджетов других уровней</w:t>
      </w:r>
      <w:r>
        <w:rPr>
          <w:spacing w:val="-4"/>
        </w:rPr>
        <w:t>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5 отражаются поступления от предпринимательской и иной приносящей доход деятельности, из числа которых выделяются: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поступления от основных видов уставной деятельности (графа 6); 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благотворительные и спонсорские вклады (графа 7); 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поступления от предпринимательской деятельности (графа 8).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9 отражаются поступления от сдачи имущества в аренду, находящегося в собственности, оперативном управлении или хозяйственном ведении организации.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10 указывается общая сумма средств, израсходованных организацией за отчетный период.</w:t>
      </w:r>
    </w:p>
    <w:p w:rsidR="00EF2239" w:rsidRDefault="006510BF">
      <w:pPr>
        <w:ind w:firstLine="709"/>
        <w:jc w:val="both"/>
        <w:rPr>
          <w:color w:val="000000"/>
        </w:rPr>
      </w:pPr>
      <w:r>
        <w:rPr>
          <w:spacing w:val="-4"/>
        </w:rPr>
        <w:t>В графе 11 (из графы 10) приводятся данные о суммарной величине финансовых средств, израсходованных на оплату труда работников, состоящих в штате организации. Сюда включаются выплаты по должностным окладам, надбавки, премии, материальная помощь и другие виды денежных вознаграждений.</w:t>
      </w:r>
      <w:r>
        <w:rPr>
          <w:szCs w:val="24"/>
        </w:rPr>
        <w:t xml:space="preserve"> Учитываются расходы по </w:t>
      </w:r>
      <w:r>
        <w:rPr>
          <w:color w:val="000000"/>
        </w:rPr>
        <w:t>кодам 211 и 213 классификации операций сектора государственного управления (КОСГУ).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12 (из графы 11) приводятся данные о величине финансовых средств, израсходованных на оплату труда работников и полученных от предпринимательской и иной приносящей доход деятельности, а также средств, поступивших от аренды имущества, находящегося в собственности, оперативном управлении или хозяйственном ведении организации.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В графе 13 (из графы 11) приводятся данные о величине финансовых средств, израсходованных на оплату труда основного персонала. 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</w:t>
      </w:r>
      <w:r>
        <w:rPr>
          <w:spacing w:val="-4"/>
          <w:lang w:val="en-US"/>
        </w:rPr>
        <w:t> </w:t>
      </w:r>
      <w:r>
        <w:rPr>
          <w:spacing w:val="-4"/>
        </w:rPr>
        <w:t>14 (из графы</w:t>
      </w:r>
      <w:r>
        <w:rPr>
          <w:spacing w:val="-4"/>
          <w:lang w:val="en-US"/>
        </w:rPr>
        <w:t> </w:t>
      </w:r>
      <w:r>
        <w:rPr>
          <w:spacing w:val="-4"/>
        </w:rPr>
        <w:t>13) приводятся данные о величине финансовых средств, израсходованных на оплату труда основного персонала и полученных от предпринимательской и иной приносящей доход деятельности, а также средств, поступивших от аренды имущества, находящегося в собственности, оперативном управлении или хозяйственном ведении организации.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15 (из графы 10) приводятся данные о величине финансовых средств, израсходованных на капитальный ремонт и реставрацию зданий и помещений.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16 (из графы 15) приводятся данные о величине финансовых средств, израсходованных на капитальный ремонт и реставрацию зданий и помещений и полученных от предпринимательской и иной приносящей доход деятельности, а также средств, поступивших от аренды имущества, находящегося в собственности, оперативном управлении или хозяйственном ведении организации.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17 (из графы 10) приводятся данные о величине финансовых средств, израсходованных на приобретение (замену) оборудования.</w:t>
      </w:r>
    </w:p>
    <w:p w:rsidR="00EF2239" w:rsidRDefault="006510BF">
      <w:pPr>
        <w:widowControl w:val="0"/>
        <w:shd w:val="clear" w:color="auto" w:fill="FFFFFF"/>
        <w:ind w:firstLine="709"/>
        <w:jc w:val="both"/>
        <w:rPr>
          <w:spacing w:val="-4"/>
          <w:szCs w:val="24"/>
          <w:shd w:val="clear" w:color="auto" w:fill="FFFF00"/>
        </w:rPr>
      </w:pPr>
      <w:r>
        <w:rPr>
          <w:spacing w:val="-4"/>
        </w:rPr>
        <w:t xml:space="preserve">В графе 18 (из графы 17) приводятся данные о величине финансовых средств, израсходованных на приобретение (замену) оборудования </w:t>
      </w:r>
      <w:r>
        <w:rPr>
          <w:spacing w:val="-4"/>
        </w:rPr>
        <w:lastRenderedPageBreak/>
        <w:t xml:space="preserve">для улучшения условий доступности для лиц с </w:t>
      </w:r>
      <w:r>
        <w:rPr>
          <w:spacing w:val="-4"/>
          <w:szCs w:val="24"/>
        </w:rPr>
        <w:t xml:space="preserve">ОВЗ </w:t>
      </w:r>
      <w:r>
        <w:rPr>
          <w:spacing w:val="-4"/>
          <w:szCs w:val="24"/>
          <w:shd w:val="clear" w:color="auto" w:fill="FFFFFF"/>
        </w:rPr>
        <w:t>(</w:t>
      </w:r>
      <w:r>
        <w:rPr>
          <w:rFonts w:eastAsia="Cambria"/>
          <w:spacing w:val="-4"/>
          <w:szCs w:val="24"/>
          <w:shd w:val="clear" w:color="auto" w:fill="FFFFFF"/>
        </w:rPr>
        <w:t>колясок, скалоходов</w:t>
      </w:r>
      <w:r>
        <w:rPr>
          <w:spacing w:val="-4"/>
          <w:szCs w:val="24"/>
          <w:shd w:val="clear" w:color="auto" w:fill="FFFFFF"/>
        </w:rPr>
        <w:t>).</w:t>
      </w:r>
    </w:p>
    <w:p w:rsidR="00EF2239" w:rsidRDefault="006510BF">
      <w:pPr>
        <w:widowControl w:val="0"/>
        <w:shd w:val="clear" w:color="auto" w:fill="FFFFFF"/>
        <w:ind w:firstLine="709"/>
        <w:jc w:val="both"/>
        <w:rPr>
          <w:spacing w:val="-4"/>
        </w:rPr>
      </w:pPr>
      <w:r>
        <w:rPr>
          <w:spacing w:val="-4"/>
        </w:rPr>
        <w:t>В графе 19 (из графы 17) приводятся данные о величине финансовых средств, израсходованных на приобретение оборудования и полученных от предпринимательской и иной приносящей доход деятельности, а также средств, поступивших от аренды имущества, находящегося в собственности, оперативном управлении или хозяйственном ведении организации.</w:t>
      </w:r>
    </w:p>
    <w:p w:rsidR="00EF2239" w:rsidRDefault="006510BF">
      <w:pPr>
        <w:widowControl w:val="0"/>
        <w:ind w:firstLine="709"/>
        <w:jc w:val="both"/>
        <w:rPr>
          <w:spacing w:val="-4"/>
          <w:szCs w:val="24"/>
        </w:rPr>
      </w:pPr>
      <w:r>
        <w:rPr>
          <w:spacing w:val="-4"/>
        </w:rPr>
        <w:t>В графе 20 (из графы 10) приводятся данные о величине финансовых средств, израсходованных на подготовку и проведение социально-значимых мероприятий</w:t>
      </w:r>
      <w:r>
        <w:rPr>
          <w:spacing w:val="-4"/>
          <w:szCs w:val="24"/>
        </w:rPr>
        <w:t>: для ветеранов,  детей, молодежи, семейной аудитории, инвалидов, многодетных и малообеспеченных семей и других подобных категорий населения, проводимых как на безвозмездной, так и на платной основе.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21 (из графы 20) приводятся данные о величине финансовых средств, израсходованных на подготовку и проведение социально значимых мероприятий и полученных от предпринимательской и иной приносящей доход деятельности, а также средств, поступивших от аренды имущества, находящегося в собственности, оперативном управлении или хозяйственном ведении организации.</w:t>
      </w:r>
    </w:p>
    <w:p w:rsidR="00EF2239" w:rsidRDefault="006510BF">
      <w:pPr>
        <w:widowControl w:val="0"/>
        <w:ind w:firstLine="709"/>
        <w:jc w:val="both"/>
        <w:rPr>
          <w:szCs w:val="24"/>
        </w:rPr>
      </w:pPr>
      <w:r>
        <w:rPr>
          <w:spacing w:val="-4"/>
        </w:rPr>
        <w:t xml:space="preserve">Данный раздел заполняется организацией – учредителем юридического лица </w:t>
      </w:r>
      <w:r>
        <w:rPr>
          <w:szCs w:val="24"/>
        </w:rPr>
        <w:t xml:space="preserve">в целом по юридическому лицу, включая данные обо всех входящих в него обособленных подразделениях. </w:t>
      </w:r>
    </w:p>
    <w:p w:rsidR="00EF2239" w:rsidRDefault="006510BF">
      <w:pPr>
        <w:widowControl w:val="0"/>
        <w:ind w:firstLine="709"/>
        <w:jc w:val="both"/>
      </w:pPr>
      <w:r>
        <w:rPr>
          <w:szCs w:val="24"/>
        </w:rPr>
        <w:t>Организации, имеющие форму собственности кроме государственной и муниципальной, данный раздел не заполняют.</w:t>
      </w:r>
    </w:p>
    <w:p w:rsidR="00EF2239" w:rsidRDefault="00EF2239">
      <w:pPr>
        <w:widowControl w:val="0"/>
        <w:ind w:firstLine="709"/>
        <w:jc w:val="both"/>
      </w:pPr>
    </w:p>
    <w:sectPr w:rsidR="00EF2239">
      <w:headerReference w:type="even" r:id="rId7"/>
      <w:headerReference w:type="default" r:id="rId8"/>
      <w:headerReference w:type="first" r:id="rId9"/>
      <w:pgSz w:w="16840" w:h="11907" w:orient="landscape"/>
      <w:pgMar w:top="567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3C5" w:rsidRDefault="00DA53C5">
      <w:r>
        <w:separator/>
      </w:r>
    </w:p>
  </w:endnote>
  <w:endnote w:type="continuationSeparator" w:id="0">
    <w:p w:rsidR="00DA53C5" w:rsidRDefault="00DA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3C5" w:rsidRDefault="00DA53C5">
      <w:r>
        <w:separator/>
      </w:r>
    </w:p>
  </w:footnote>
  <w:footnote w:type="continuationSeparator" w:id="0">
    <w:p w:rsidR="00DA53C5" w:rsidRDefault="00DA53C5">
      <w:r>
        <w:continuationSeparator/>
      </w:r>
    </w:p>
  </w:footnote>
  <w:footnote w:id="1">
    <w:p w:rsidR="00EF2239" w:rsidRDefault="006510BF">
      <w:pPr>
        <w:pStyle w:val="singlespacefootnotetext11111"/>
        <w:ind w:firstLine="567"/>
        <w:jc w:val="both"/>
      </w:pPr>
      <w:r>
        <w:rPr>
          <w:rStyle w:val="af5"/>
        </w:rPr>
        <w:footnoteRef/>
      </w:r>
      <w:r>
        <w:t xml:space="preserve"> Обособленное подразделение организации – любое территориально обособленное от нее подразделение, по месту нахождения которого оборудованы стационарные </w:t>
      </w:r>
      <w:r>
        <w:br w:type="textWrapping" w:clear="all"/>
        <w:t xml:space="preserve">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</w:t>
      </w:r>
      <w:r>
        <w:br w:type="textWrapping" w:clear="all"/>
        <w:t xml:space="preserve">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</w:t>
      </w:r>
      <w:r>
        <w:br/>
        <w:t>стационарным, если оно создается на срок более одного месяца (пункт 2 статьи 11 Налогового кодекса Российской Федерации).</w:t>
      </w:r>
    </w:p>
    <w:p w:rsidR="00EF2239" w:rsidRDefault="00EF2239">
      <w:pPr>
        <w:pStyle w:val="singlespacefootnotetext1111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39" w:rsidRDefault="006510BF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EF2239" w:rsidRDefault="00EF2239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39" w:rsidRDefault="006510B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93A33">
      <w:rPr>
        <w:noProof/>
      </w:rPr>
      <w:t>10</w:t>
    </w:r>
    <w:r>
      <w:fldChar w:fldCharType="end"/>
    </w:r>
  </w:p>
  <w:p w:rsidR="00EF2239" w:rsidRDefault="00EF2239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39" w:rsidRDefault="006510BF">
    <w:pPr>
      <w:pStyle w:val="ac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8422005</wp:posOffset>
              </wp:positionH>
              <wp:positionV relativeFrom="paragraph">
                <wp:posOffset>-353694</wp:posOffset>
              </wp:positionV>
              <wp:extent cx="1675130" cy="498475"/>
              <wp:effectExtent l="0" t="0" r="0" b="0"/>
              <wp:wrapNone/>
              <wp:docPr id="1" name="_x0000_s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7513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F2239" w:rsidRDefault="00EF2239"/>
                        <w:p w:rsidR="00EF2239" w:rsidRDefault="00EF2239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o:spid="_x0000_s1029" type="#_x0000_t202" style="position:absolute;margin-left:663.15pt;margin-top:-27.85pt;width:131.9pt;height:39.2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" filled="f" stroked="f">
              <v:textbox>
                <w:txbxContent>
                  <w:p w:rsidR="00EF2239" w:rsidRDefault="00EF2239"/>
                  <w:p w:rsidR="00EF2239" w:rsidRDefault="00EF223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92F86"/>
    <w:multiLevelType w:val="hybridMultilevel"/>
    <w:tmpl w:val="D2A22CC8"/>
    <w:lvl w:ilvl="0" w:tplc="395E2A6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7A4406B0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A766674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DD56C024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74E3B1C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CDECFD6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5CBDC8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8A6D5D0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572302E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69A358E3"/>
    <w:multiLevelType w:val="hybridMultilevel"/>
    <w:tmpl w:val="AF0AABF6"/>
    <w:lvl w:ilvl="0" w:tplc="97EA6C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BFF82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</w:rPr>
    </w:lvl>
    <w:lvl w:ilvl="2" w:tplc="8BFEFE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CEAC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2A36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 w:tplc="04EAD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B695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94A5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 w:tplc="01B6E9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39"/>
    <w:rsid w:val="00023927"/>
    <w:rsid w:val="00064DFB"/>
    <w:rsid w:val="006510BF"/>
    <w:rsid w:val="00980133"/>
    <w:rsid w:val="00A45A23"/>
    <w:rsid w:val="00B93A33"/>
    <w:rsid w:val="00DA53C5"/>
    <w:rsid w:val="00E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A6CB7-BCEF-448F-A378-BBE38DCA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line="220" w:lineRule="exact"/>
      <w:jc w:val="center"/>
      <w:outlineLvl w:val="0"/>
    </w:pPr>
    <w:rPr>
      <w:b/>
      <w:sz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60" w:after="6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</w:rPr>
  </w:style>
  <w:style w:type="character" w:customStyle="1" w:styleId="20">
    <w:name w:val="Заголовок 2 Знак"/>
    <w:link w:val="2"/>
    <w:rPr>
      <w:b/>
      <w:sz w:val="24"/>
    </w:rPr>
  </w:style>
  <w:style w:type="paragraph" w:customStyle="1" w:styleId="-1">
    <w:name w:val="абзац-1"/>
    <w:basedOn w:val="a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uiPriority w:val="99"/>
    <w:rPr>
      <w:sz w:val="24"/>
    </w:rPr>
  </w:style>
  <w:style w:type="character" w:styleId="afb">
    <w:name w:val="page number"/>
    <w:basedOn w:val="a0"/>
    <w:semiHidden/>
  </w:style>
  <w:style w:type="paragraph" w:customStyle="1" w:styleId="110">
    <w:name w:val="Основной текст;Знак1;Заг1"/>
    <w:basedOn w:val="a"/>
    <w:link w:val="1211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211">
    <w:name w:val="Основной текст Знак;Знак1 Знак2;Заг1 Знак1"/>
    <w:link w:val="110"/>
    <w:rPr>
      <w:rFonts w:ascii="Arial" w:hAnsi="Arial"/>
    </w:rPr>
  </w:style>
  <w:style w:type="paragraph" w:styleId="afc">
    <w:name w:val="Plain Text"/>
    <w:basedOn w:val="a"/>
    <w:link w:val="afd"/>
    <w:semiHidden/>
    <w:rPr>
      <w:rFonts w:ascii="Courier New" w:hAnsi="Courier New"/>
      <w:sz w:val="20"/>
    </w:rPr>
  </w:style>
  <w:style w:type="paragraph" w:styleId="afe">
    <w:name w:val="Body Text Indent"/>
    <w:basedOn w:val="a"/>
    <w:link w:val="aff"/>
    <w:pPr>
      <w:spacing w:line="140" w:lineRule="exact"/>
      <w:ind w:left="397"/>
    </w:pPr>
    <w:rPr>
      <w:sz w:val="20"/>
    </w:rPr>
  </w:style>
  <w:style w:type="paragraph" w:styleId="24">
    <w:name w:val="Body Text Indent 2"/>
    <w:basedOn w:val="a"/>
    <w:link w:val="25"/>
    <w:semiHidden/>
    <w:pPr>
      <w:spacing w:line="140" w:lineRule="exact"/>
      <w:ind w:left="284"/>
    </w:pPr>
    <w:rPr>
      <w:sz w:val="20"/>
    </w:rPr>
  </w:style>
  <w:style w:type="character" w:customStyle="1" w:styleId="25">
    <w:name w:val="Основной текст с отступом 2 Знак"/>
    <w:link w:val="24"/>
    <w:semiHidden/>
  </w:style>
  <w:style w:type="paragraph" w:customStyle="1" w:styleId="FR1">
    <w:name w:val="FR1"/>
    <w:pPr>
      <w:jc w:val="both"/>
    </w:pPr>
    <w:rPr>
      <w:sz w:val="72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link w:val="34"/>
    <w:semiHidden/>
    <w:pPr>
      <w:ind w:firstLine="709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semiHidden/>
    <w:rPr>
      <w:sz w:val="24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21312">
    <w:name w:val="Основной текст Знак2;Знак1 Знак3;Заг1 Знак2"/>
    <w:rPr>
      <w:rFonts w:ascii="Arial" w:hAnsi="Arial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1footnotetext1111111111111"/>
    <w:uiPriority w:val="99"/>
    <w:rPr>
      <w:sz w:val="20"/>
    </w:rPr>
  </w:style>
  <w:style w:type="character" w:customStyle="1" w:styleId="singlespace1footnotetext1111111111111">
    <w:name w:val="Текст сноски Знак;single space Знак1;footnote text Знак Знак1;Текст сноски Знак1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link w:val="singlespacefootnotetext11111"/>
    <w:uiPriority w:val="99"/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character" w:customStyle="1" w:styleId="a5">
    <w:name w:val="Без интервала Знак"/>
    <w:link w:val="a4"/>
    <w:uiPriority w:val="1"/>
    <w:rPr>
      <w:sz w:val="22"/>
      <w:szCs w:val="22"/>
      <w:lang w:val="ru-RU" w:eastAsia="ru-RU" w:bidi="ar-SA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character" w:styleId="aff5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rPr>
      <w:b/>
      <w:sz w:val="26"/>
    </w:rPr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character" w:customStyle="1" w:styleId="1singlespacefootnotetext11111">
    <w:name w:val="Текст сноски Знак1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uiPriority w:val="99"/>
    <w:semiHidden/>
  </w:style>
  <w:style w:type="character" w:customStyle="1" w:styleId="111">
    <w:name w:val="Основной текст Знак1;Знак1 Знак;Заг1 Знак"/>
    <w:semiHidden/>
    <w:rPr>
      <w:sz w:val="24"/>
    </w:rPr>
  </w:style>
  <w:style w:type="character" w:customStyle="1" w:styleId="aff">
    <w:name w:val="Основной текст с отступом Знак"/>
    <w:link w:val="afe"/>
  </w:style>
  <w:style w:type="character" w:customStyle="1" w:styleId="afd">
    <w:name w:val="Текст Знак"/>
    <w:link w:val="afc"/>
    <w:semiHidden/>
    <w:rPr>
      <w:rFonts w:ascii="Courier New" w:hAnsi="Courier New"/>
    </w:rPr>
  </w:style>
  <w:style w:type="paragraph" w:styleId="aff7">
    <w:name w:val="annotation subject"/>
    <w:basedOn w:val="aff2"/>
    <w:next w:val="aff2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4592</Words>
  <Characters>26178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30709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etnocenter2021@yandex.ru</cp:lastModifiedBy>
  <cp:revision>4</cp:revision>
  <dcterms:created xsi:type="dcterms:W3CDTF">2025-11-20T06:51:00Z</dcterms:created>
  <dcterms:modified xsi:type="dcterms:W3CDTF">2025-12-15T08:36:00Z</dcterms:modified>
  <cp:version>917504</cp:version>
</cp:coreProperties>
</file>