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76" w:rsidRPr="00644D76" w:rsidRDefault="00644D76" w:rsidP="00125AF9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4"/>
          <w:szCs w:val="24"/>
          <w:lang w:eastAsia="ru-RU"/>
        </w:rPr>
      </w:pPr>
      <w:r w:rsidRPr="00644D76">
        <w:rPr>
          <w:rFonts w:ascii="Arial" w:eastAsia="Times New Roman" w:hAnsi="Arial" w:cs="Arial"/>
          <w:b/>
          <w:bCs/>
          <w:color w:val="005EA5"/>
          <w:kern w:val="36"/>
          <w:sz w:val="24"/>
          <w:szCs w:val="24"/>
          <w:lang w:eastAsia="ru-RU"/>
        </w:rPr>
        <w:t>Приказ Минтруда России от 26.04.2013 N 167н (ред. от 20.02.2014) 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контракта"</w:t>
      </w:r>
    </w:p>
    <w:p w:rsidR="00644D76" w:rsidRPr="00644D76" w:rsidRDefault="00644D76" w:rsidP="00644D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0" w:name="100001"/>
      <w:bookmarkEnd w:id="0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644D76" w:rsidRPr="00644D76" w:rsidRDefault="00644D76" w:rsidP="00644D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" w:name="100002"/>
      <w:bookmarkEnd w:id="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ПРИКАЗ</w:t>
      </w:r>
    </w:p>
    <w:p w:rsidR="00644D76" w:rsidRPr="00644D76" w:rsidRDefault="00644D76" w:rsidP="00644D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26 апреля 2013 г. N 167н</w:t>
      </w:r>
    </w:p>
    <w:p w:rsidR="00644D76" w:rsidRPr="00644D76" w:rsidRDefault="00644D76" w:rsidP="00644D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" w:name="100003"/>
      <w:bookmarkEnd w:id="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 УТВЕРЖДЕНИИ РЕКОМЕНДАЦИЙ</w:t>
      </w:r>
    </w:p>
    <w:p w:rsidR="00644D76" w:rsidRPr="00644D76" w:rsidRDefault="00644D76" w:rsidP="00644D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 ОФОРМЛЕНИЮ ТРУДОВЫХ ОТНОШЕНИЙ С РАБОТНИКОМ</w:t>
      </w:r>
    </w:p>
    <w:p w:rsidR="00644D76" w:rsidRPr="00644D76" w:rsidRDefault="00644D76" w:rsidP="00644D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ГОСУДАРСТВЕННОГО (МУНИЦИПАЛЬНОГО) УЧРЕЖДЕНИЯ</w:t>
      </w:r>
    </w:p>
    <w:p w:rsidR="00644D76" w:rsidRPr="00644D76" w:rsidRDefault="00644D76" w:rsidP="00644D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ВВЕДЕНИИ ЭФФЕКТИВНОГО КОНТРАКТА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" w:name="100004"/>
      <w:bookmarkEnd w:id="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соответствии с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4" w:anchor="100219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15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приложения N 2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 (Собрание законодательства Российской Федерации, 2012, N 49, ст. 6909), приказываю: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" w:name="100005"/>
      <w:bookmarkEnd w:id="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Утвердить прилагаемые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5" w:anchor="100009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рекомендации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 оформлению трудовых отношений с работником государственного (муниципального) учреждения при введении эффективного контракта.</w:t>
      </w:r>
    </w:p>
    <w:p w:rsidR="00644D76" w:rsidRPr="00644D76" w:rsidRDefault="00644D76" w:rsidP="00644D7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" w:name="100006"/>
      <w:bookmarkEnd w:id="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Министр</w:t>
      </w:r>
    </w:p>
    <w:p w:rsidR="00644D76" w:rsidRPr="00644D76" w:rsidRDefault="00644D76" w:rsidP="00644D7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М.А.ТОПИЛИН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" w:name="100007"/>
      <w:bookmarkEnd w:id="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 нуждается в государственной регистрации. Письмо Минюста России от 5 июля 2013 г. N 01/60140-ЮЛ.</w:t>
      </w:r>
    </w:p>
    <w:p w:rsidR="00644D76" w:rsidRPr="00644D76" w:rsidRDefault="00644D76" w:rsidP="00644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44D76" w:rsidRPr="00644D76" w:rsidRDefault="00644D76" w:rsidP="00644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44D76" w:rsidRPr="00644D76" w:rsidRDefault="00644D76" w:rsidP="00644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44D76" w:rsidRPr="00644D76" w:rsidRDefault="00644D76" w:rsidP="00644D7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" w:name="100008"/>
      <w:bookmarkEnd w:id="7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Утверждены</w:t>
      </w:r>
    </w:p>
    <w:p w:rsidR="00644D76" w:rsidRPr="00644D76" w:rsidRDefault="00644D76" w:rsidP="00644D7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приказом Минтруда России</w:t>
      </w:r>
    </w:p>
    <w:p w:rsidR="00644D76" w:rsidRPr="00644D76" w:rsidRDefault="00644D76" w:rsidP="00644D7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26 апреля 2013 г. N 167н</w:t>
      </w:r>
    </w:p>
    <w:p w:rsidR="00644D76" w:rsidRPr="00644D76" w:rsidRDefault="00644D76" w:rsidP="00644D7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" w:name="100009"/>
      <w:bookmarkEnd w:id="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РЕКОМЕНДАЦИИ</w:t>
      </w:r>
    </w:p>
    <w:p w:rsidR="00644D76" w:rsidRPr="00644D76" w:rsidRDefault="00644D76" w:rsidP="00644D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 ОФОРМЛЕНИЮ ТРУДОВЫХ ОТНОШЕНИЙ С РАБОТНИКОМ</w:t>
      </w:r>
    </w:p>
    <w:p w:rsidR="00644D76" w:rsidRPr="00644D76" w:rsidRDefault="00644D76" w:rsidP="00644D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ГОСУДАРСТВЕННОГО (МУНИЦИПАЛЬНОГО) УЧРЕЖДЕНИЯ</w:t>
      </w:r>
    </w:p>
    <w:p w:rsidR="00644D76" w:rsidRPr="00644D76" w:rsidRDefault="00644D76" w:rsidP="00644D7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ВВЕДЕНИИ ЭФФЕКТИВНОГО КОНТРАКТА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" w:name="100010"/>
      <w:bookmarkEnd w:id="9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Рекомендации по оформлению трудовых отношений с работником государственного (муниципального) учреждения при введении эффективного контракта (далее - Рекомендации) разработаны в целях оказания методической помощи государственным (муниципальным) учреждениям (далее - учреждение) в связи с введением эффективного контракта, предусмотренного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6" w:anchor="100085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Программой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поэтапного совершенствования системы оплаты труда в государственных (муниципальных) учреждениях на 2012 - 2018 годы, 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утвержденной распоряжением Правительства Российской Федерации от 26 ноября 2012 г. N 2190-р</w:t>
      </w:r>
      <w:proofErr w:type="gram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(далее - Программа).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" w:name="100011"/>
      <w:bookmarkEnd w:id="10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Рекомендации могут применяться при оформлении трудовых отношений со всеми работниками учреждений.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2. В соответствии с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7" w:anchor="100109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разделом IV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Программы,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" w:name="100013"/>
      <w:bookmarkEnd w:id="1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" w:name="100014"/>
      <w:bookmarkEnd w:id="1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отношении каждого работника должны быть уточнены и конкретизированы его трудовая функция, показатели и критерии оценки эффективности деятельности, установлен размер вознаграждения, а также размер поощрения за достижение коллективных результатов труда. Условия получения вознаграждения должны быть понятны работодателю и работнику и не допускать двойного толкования. &lt;1&gt;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" w:name="100015"/>
      <w:bookmarkEnd w:id="1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--------------------------------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&lt;1&gt;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8" w:anchor="100110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Раздел IV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Программы.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" w:name="100017"/>
      <w:bookmarkEnd w:id="1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3. При оформлении трудовых отношений с работником учреждения рекомендуется учитывать нормы, предусмотренные локальными нормативными актами, коллективными договорами и соглашениями, определяющими: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" w:name="100018"/>
      <w:bookmarkEnd w:id="1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систему оплаты труда работников (включая размеры окладов (должностных окладов), ставок заработной платы, доплат, надбавок);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" w:name="100019"/>
      <w:bookmarkEnd w:id="1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систему нормирования труда;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" w:name="000001"/>
      <w:bookmarkStart w:id="18" w:name="100020"/>
      <w:bookmarkEnd w:id="17"/>
      <w:bookmarkEnd w:id="1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условия труда работников по итогам проведения специальной оценки условий труда;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" w:name="100021"/>
      <w:bookmarkEnd w:id="19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режим рабочего времени и времени отдыха;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штатное расписание учреждения;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" w:name="100023"/>
      <w:bookmarkEnd w:id="20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условия, определяющие в необходимых случаях характер работы (подвижной, разъездной, в пути, другой характер работы).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" w:name="100024"/>
      <w:bookmarkEnd w:id="2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4. При поступлении на работу работник учреждения и работодатель заключают трудовой договор в соответствии с Трудовым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9" w:anchor="100463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кодексом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Российской Федерации (Собрание законодательства Российской Федерации, 2002, N 1 (ч. I), ст. 3; 2004, N 35, ст. 3607; 2006, N 27, ст. 2878) (далее - Трудовой кодекс Российской Федерации). При этом используется примерная форма трудового договора с работником учреждения, приведенная в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0" w:anchor="100237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приложении N 3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 Программе (далее - примерная форма трудового договора).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" w:name="100025"/>
      <w:bookmarkEnd w:id="2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5. С работником учреждения, состоящим в трудовых отношениях с работодателем, рекомендуется оформлять соглашение об изменении определенных сторонами условий трудового договора (далее также - дополнительное соглашение к трудовому договору).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3" w:name="100026"/>
      <w:bookmarkEnd w:id="2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соответствии с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1" w:anchor="000459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частью второй статьи 74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Трудового кодекса Российской Федерации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позднее</w:t>
      </w:r>
      <w:proofErr w:type="gram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чем за два месяца, если иное не предусмотрено Трудовым кодексом Российской Федерации.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4" w:name="100027"/>
      <w:bookmarkEnd w:id="2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 xml:space="preserve">Дополнительное соглашение к трудовому договору рекомендуется заключать по мере разработки показателей и критериев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оценки эффективности труда работников учреждения</w:t>
      </w:r>
      <w:proofErr w:type="gram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определения размеров и условий осуществления стимулирующих выплат.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5" w:name="100028"/>
      <w:bookmarkEnd w:id="2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6. В соответствии со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2" w:anchor="000440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статьей 72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Трудового кодекса Российской Федерации соглашение об изменении определенных сторонами условий трудового договора заключается в письменной форме.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6" w:name="100029"/>
      <w:bookmarkEnd w:id="2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Рекомендуется составлять дополнительное соглашение к трудовому договору в двух экземплярах. Один экземпляр дополнительного соглашения к трудовому договору передается работнику учреждения, второй - хранится в кадровой службе работодателя. При этом получение работником учреждения экземпляра дополнительного соглашения к трудовому договору рекомендуется подтверждать подписью работника на экземпляре трудового договора или дополнительного соглашения к трудовому договору,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хранящихся</w:t>
      </w:r>
      <w:proofErr w:type="gram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 работодателя.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7" w:name="100030"/>
      <w:bookmarkEnd w:id="27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7. В случае отсутствия в ранее заключенном трудовом договоре информации о работодателе и работнике учреждения, предусмотренной примерной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3" w:anchor="100237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формой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трудового договора, рекомендуется указывать эту информацию в дополнительном соглашении к трудовому договору.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8" w:name="100031"/>
      <w:bookmarkEnd w:id="2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8. В дополнительное соглашение к трудовому договору рекомендуется включать условия, предусмотренные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4" w:anchor="000338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статьей 57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Трудового кодекса Российской Федерации (в случае отсутствия этих условий в ранее заключенном трудовом договоре), в частности: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9" w:name="100032"/>
      <w:bookmarkEnd w:id="29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место работы, а в случае, когда работник принимается для работы в конкретном филиале, представительстве или ином обособленном структурном подразделении учреждения,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0" w:name="100033"/>
      <w:bookmarkEnd w:id="30"/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учреждения работы.</w:t>
      </w:r>
      <w:proofErr w:type="gram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Если в соответствии с Трудовым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5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кодексом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Российской Федерации,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наименования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  <w:proofErr w:type="gramEnd"/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1" w:name="100034"/>
      <w:bookmarkEnd w:id="3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случае, когда был заключен срочный трудовой договор, также срок его действия и обстоятельства (причины), послужившие основанием для заключения срочного трудового договора в соответствии с Трудовым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6" w:anchor="000369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кодексом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Российской Федерации или иным федеральным законом;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2" w:name="100035"/>
      <w:bookmarkEnd w:id="3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условия оплаты труда (в том числе размер тарифной ставки или оклада (должностного оклада) работника учреждения, доплаты, надбавки и поощрительные выплаты).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этом рекомендуется конкретизировать условия осуществления выплат: компенсационного характера (наименование выплаты, размер выплаты, а также факторы, обусловливающие получение выплаты); стимулирующего характера (наименование выплаты, условия получения выплаты, показатели и критерии оценки эффективности деятельности, периодичность, размер выплаты);</w:t>
      </w:r>
      <w:proofErr w:type="gramEnd"/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3" w:name="100036"/>
      <w:bookmarkEnd w:id="3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режим рабочего времени и времени отдыха (если для данного работника учреждения он отличается от общих правил, действующих в учреждении);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4" w:name="100037"/>
      <w:bookmarkEnd w:id="3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компенсации за тяжелую работу и работу с вредными и (или) опасными условиями труда, если работник учреждения принимается на работу в соответствующих условиях, с указанием характеристик условий труда на рабочем месте;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5" w:name="100038"/>
      <w:bookmarkEnd w:id="3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6" w:name="100039"/>
      <w:bookmarkEnd w:id="3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условие об обязательном социальном страховании работника учреждения в соответствии с Трудовым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7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кодексом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Российской Федерации и иными федеральными законами;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7" w:name="100040"/>
      <w:bookmarkEnd w:id="37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8" w:name="100041"/>
      <w:bookmarkEnd w:id="3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Также в дополнительное соглашение к трудовому договору рекомендуется включать следующие условия: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9" w:name="100042"/>
      <w:bookmarkEnd w:id="39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продолжительность ежегодного основного (ежегодного основного удлиненного) оплачиваемого отпуска работника учреждения. При предоставлении работнику учреждения ежегодного дополнительного отпуска в связи с особыми условиями труда, профессиональной спецификой в трудовом договоре указывается продолжительность ежегодного основного (ежегодного основного удлиненного) оплачиваемого отпуска и продолжительность дополнительных отпусков с указанием оснований для их предоставления;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0" w:name="100043"/>
      <w:bookmarkEnd w:id="40"/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меры социальной поддержки и другие условия в случаях, предусмотренных трудовым законодательством и иными нормативными правовыми актами, содержащими нормы трудового права (например, особенности установления учебной нагрузки преподавателей образовательных учреждений высшего и дополнительного профессионального образования, исчисления заработной платы учителей, других педагогических работников с учетом установленного объема учебной нагрузки и другие особенности).</w:t>
      </w:r>
      <w:proofErr w:type="gramEnd"/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1" w:name="100044"/>
      <w:bookmarkEnd w:id="4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9. Рекомендуется отражать должностные обязанности работника учреждения непосредственно в тексте трудового договора.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случае поручения работнику учреждения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рекомендуется отражать в дополнительном соглашении к трудовому договору.</w:t>
      </w:r>
      <w:proofErr w:type="gramEnd"/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2" w:name="100045"/>
      <w:bookmarkEnd w:id="4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10.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Если трудовые обязанности работников учреждения полностью или частично совпадают с должностными обязанностями, предусмотренными квалификационными характеристиками Единого квалификационного справочника должностей руководителей, специалистов и служащих (далее - ЕКС), характеристиками работ Единого тарифно-квалификационного справочника работ и профессий рабочих (далее - ЕТКС) или соответствующими положениями профессиональных стандартов, то при оформлении трудовых отношений рекомендуется применять наименования должностей служащих (профессий рабочих), предусмотренные соответствующими квалификационными характеристиками ЕКС, тарифно-квалификационными характеристиками</w:t>
      </w:r>
      <w:proofErr w:type="gram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ЕТКС и профессиональными стандартами.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3" w:name="100046"/>
      <w:bookmarkEnd w:id="4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11. 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4" w:name="100047"/>
      <w:bookmarkEnd w:id="4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а) выплаты за интенсивность и высокие результаты работы: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5" w:name="100048"/>
      <w:bookmarkEnd w:id="4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надбавка за интенсивность труда;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6" w:name="100049"/>
      <w:bookmarkEnd w:id="4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премия за высокие результаты работы;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7" w:name="100050"/>
      <w:bookmarkEnd w:id="47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премия за выполнение особо важных и ответственных работ;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8" w:name="100051"/>
      <w:bookmarkEnd w:id="4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б) выплаты за качество выполняемых работ: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9" w:name="100052"/>
      <w:bookmarkEnd w:id="49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надбавка за наличие квалификационной категории;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0" w:name="100053"/>
      <w:bookmarkEnd w:id="50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премия за образцовое выполнение государственного (муниципального) задания;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в) выплаты за стаж непрерывной работы, выслугу лет: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1" w:name="100055"/>
      <w:bookmarkEnd w:id="5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надбавка за выслугу лет;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2" w:name="100056"/>
      <w:bookmarkEnd w:id="5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надбавка за стаж непрерывной работы;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3" w:name="100057"/>
      <w:bookmarkEnd w:id="5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г) премиальные выплаты по итогам работы: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4" w:name="100058"/>
      <w:bookmarkEnd w:id="5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премия по итогам работы за месяц;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5" w:name="100059"/>
      <w:bookmarkEnd w:id="5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премия по итогам работы за квартал;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6" w:name="100060"/>
      <w:bookmarkEnd w:id="5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премия по итогам работы за год;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7" w:name="100061"/>
      <w:bookmarkEnd w:id="57"/>
      <w:proofErr w:type="spell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</w:t>
      </w:r>
      <w:proofErr w:type="spell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выплаты работникам, занятым на тяжелых работах, работах с вредными и (или) опасными и иными особыми условиями труда;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8" w:name="100062"/>
      <w:bookmarkEnd w:id="5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е) выплаты за работу в местностях с особыми климатическими условиями: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9" w:name="100063"/>
      <w:bookmarkEnd w:id="59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районный коэффициент;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0" w:name="100064"/>
      <w:bookmarkEnd w:id="60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коэффициент за работу в пустынных и безводных местностях;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1" w:name="100065"/>
      <w:bookmarkEnd w:id="6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коэффициент за работу в высокогорных районах;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надбавка за стаж работы в районах Крайнего Севера и приравненных к ним местностях;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2" w:name="100067"/>
      <w:bookmarkEnd w:id="6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ж)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3" w:name="100068"/>
      <w:bookmarkEnd w:id="6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доплата за совмещение профессий (должностей);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4" w:name="100069"/>
      <w:bookmarkEnd w:id="6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доплата за расширение зон обслуживания;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5" w:name="100070"/>
      <w:bookmarkEnd w:id="6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доплата за увеличение объема работы;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6" w:name="100071"/>
      <w:bookmarkEnd w:id="6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7" w:name="100072"/>
      <w:bookmarkEnd w:id="67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доплата за выполнение работ различной квалификации;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8" w:name="100073"/>
      <w:bookmarkEnd w:id="6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доплата за работу в ночное время;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9" w:name="100074"/>
      <w:bookmarkEnd w:id="69"/>
      <w:proofErr w:type="spell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</w:t>
      </w:r>
      <w:proofErr w:type="spell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надбавка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0" w:name="100075"/>
      <w:bookmarkEnd w:id="70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системах оплаты труда, трудовых договорах и дополнительных соглашениях к трудовым договорам с работниками учреждений могут быть предусмотрены другие выплаты 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коллективными договорами и соглашениями.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1" w:name="100076"/>
      <w:bookmarkEnd w:id="7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12. В трудовом договоре или дополнительном соглашении к трудовому договору условия осуществления выплат, предусмотренных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8" w:anchor="100046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11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Рекомендаций, рекомендуется конкретизировать применительно к данному работнику учреждения.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2" w:name="100077"/>
      <w:bookmarkEnd w:id="7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13. Условия осуществления выплат стимулирующего и компенсационного характера, а также предоставления мер социальной поддержки рекомендуется излагать в трудовом договоре или дополнительном соглашении к трудовому договору в форме, понятной работнику учреждения и работодателю, и исключающей неоднозначное толкование этих условий. При этом не рекомендуется ограничиваться только ссылками на положения локальных нормативных актов, содержащих нормы, регулирующие вопросы осуществления выплат стимулирующего и компенсационного и характера.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3" w:name="100078"/>
      <w:bookmarkEnd w:id="7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случае если какие-либо выплаты устанавливаются в абсолютном размере (в рублях), рекомендуется указывать этот размер в трудовом договоре или дополнительном соглашении к трудовому договору. Размер выплат, устанавливаемых в процентах, баллах и других единицах измерения, рекомендуется указывать в этих единицах с указанием условий, при достижении которых они осуществляются.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4" w:name="100079"/>
      <w:bookmarkEnd w:id="74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14.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Если работнику учреждения поручается с его письменного согласия дополнительная работа по другой профессии (должности), в трудовом договоре или дополнительном соглашении к трудовому договору рекомендуется указывать размер доплаты за совмещение профессий (должностей), определяемый по соглашению сторон трудовых отношений исходя из сложности выполняемой работы, ее объема, занятости работника по основной и совмещаемой работе и других факторов.</w:t>
      </w:r>
      <w:proofErr w:type="gramEnd"/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5" w:name="100080"/>
      <w:bookmarkEnd w:id="75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15.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трудовом договоре или дополнительном соглашении к трудовому договору могут предусматриваться дополнительные условия, конкретизирующие права и обязанности сторон трудового договора, не ухудшающие положение работника учреждения по сравнению с условиями, установленными законодательством Российской Федерации и иными нормативными правовыми актами, коллективным договором, соглашениями, локальными нормативными актами, в частности:</w:t>
      </w:r>
      <w:proofErr w:type="gramEnd"/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6" w:name="100081"/>
      <w:bookmarkEnd w:id="76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 уточнении места работы (с указанием структурного подразделения и его местонахождения) и (или) о рабочем месте;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7" w:name="100082"/>
      <w:bookmarkEnd w:id="77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 испытании;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8" w:name="100083"/>
      <w:bookmarkEnd w:id="78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неразглашении охраняемой законом тайны (государственной, служебной, коммерческой и иной), персональных данных работников учреждения;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9" w:name="100084"/>
      <w:bookmarkEnd w:id="79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 обязанности работника учреждения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0" w:name="100085"/>
      <w:bookmarkEnd w:id="80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видах и об условиях дополнительного страхования работника учреждения;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1" w:name="100086"/>
      <w:bookmarkEnd w:id="81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 улучшении социально-бытовых условий работника учреждения и членов его семьи;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2" w:name="100087"/>
      <w:bookmarkEnd w:id="82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 уточнении применительно к условиям работы данного работника учреждения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трудовом договоре или дополнительном соглашении к трудовому договору могут предусматриваться также случаи, связанные с возложением на работников учреждения с их согласия дополнительных обязанностей с указанием размеров доплат (например, за выполнение функций классного руководителя).</w:t>
      </w:r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3" w:name="100089"/>
      <w:bookmarkEnd w:id="83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 xml:space="preserve">16. 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соответствии с</w:t>
      </w:r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hyperlink r:id="rId19" w:anchor="000581" w:history="1">
        <w:r w:rsidRPr="00125AF9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частью первой статьи 100</w:t>
        </w:r>
      </w:hyperlink>
      <w:r w:rsidRPr="00125AF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Трудового кодекса Российской Федерации режим рабочего времени должен предусматривать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 неделя), работу с ненормированным рабочим днем для отдельных категорий работников, продолжительность ежедневной работы (смены), в том числе неполного рабочего дня</w:t>
      </w:r>
      <w:proofErr w:type="gramEnd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смены), время начала и окончания работы, время перерывов в работе, число смен в сутки, чередование рабочих и нерабочих дней,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работников, режим рабочего времени которых отличается от общих правил, установленных у данного работодателя, - трудовым договором.</w:t>
      </w:r>
      <w:proofErr w:type="gramEnd"/>
    </w:p>
    <w:p w:rsidR="00644D76" w:rsidRPr="00644D76" w:rsidRDefault="00644D76" w:rsidP="00644D7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44D7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Если в отдельных случаях возникает необходимость конкретизировать режим рабочего времени, прийти к соглашению о неполном рабочем времени, гибком графике работы, определить особенности режима рабочего времени в отдельные периоды деятельности учреждения (например, каникулярный период, не совпадающий с отпуском работника), данные особенности режима рабочего времени рекомендуется указывать в трудовом договоре или дополнительном соглашении к трудовому договору.</w:t>
      </w:r>
    </w:p>
    <w:p w:rsidR="00EB253A" w:rsidRPr="00125AF9" w:rsidRDefault="00644D76" w:rsidP="00644D7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44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EB253A" w:rsidRPr="00125AF9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644D76"/>
    <w:rsid w:val="00113FD5"/>
    <w:rsid w:val="00125AF9"/>
    <w:rsid w:val="001E73A5"/>
    <w:rsid w:val="00644D76"/>
    <w:rsid w:val="007167E5"/>
    <w:rsid w:val="00762CEF"/>
    <w:rsid w:val="008B7E56"/>
    <w:rsid w:val="00B23BD6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1">
    <w:name w:val="heading 1"/>
    <w:basedOn w:val="a"/>
    <w:link w:val="10"/>
    <w:uiPriority w:val="9"/>
    <w:qFormat/>
    <w:rsid w:val="00644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4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D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4D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4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4D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4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4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D76"/>
  </w:style>
  <w:style w:type="character" w:styleId="a3">
    <w:name w:val="Hyperlink"/>
    <w:basedOn w:val="a0"/>
    <w:uiPriority w:val="99"/>
    <w:semiHidden/>
    <w:unhideWhenUsed/>
    <w:rsid w:val="00644D76"/>
    <w:rPr>
      <w:color w:val="0000FF"/>
      <w:u w:val="single"/>
    </w:rPr>
  </w:style>
  <w:style w:type="paragraph" w:customStyle="1" w:styleId="pright">
    <w:name w:val="pright"/>
    <w:basedOn w:val="a"/>
    <w:rsid w:val="0064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26112012-n-2190-r/" TargetMode="External"/><Relationship Id="rId13" Type="http://schemas.openxmlformats.org/officeDocument/2006/relationships/hyperlink" Target="http://legalacts.ru/doc/rasporjazhenie-pravitelstva-rf-ot-26112012-n-2190-r/" TargetMode="External"/><Relationship Id="rId18" Type="http://schemas.openxmlformats.org/officeDocument/2006/relationships/hyperlink" Target="http://legalacts.ru/doc/prikaz-mintruda-rossii-ot-26042013-n-167n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legalacts.ru/doc/rasporjazhenie-pravitelstva-rf-ot-26112012-n-2190-r/" TargetMode="External"/><Relationship Id="rId12" Type="http://schemas.openxmlformats.org/officeDocument/2006/relationships/hyperlink" Target="http://legalacts.ru/kodeks/TK-RF/chast-iii/razdel-iii/glava-12/statja-72/" TargetMode="External"/><Relationship Id="rId17" Type="http://schemas.openxmlformats.org/officeDocument/2006/relationships/hyperlink" Target="http://legalacts.ru/kodeks/TK-R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kodeks/TK-RF/chast-iii/razdel-iii/glava-10/statja-59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26112012-n-2190-r/" TargetMode="External"/><Relationship Id="rId11" Type="http://schemas.openxmlformats.org/officeDocument/2006/relationships/hyperlink" Target="http://legalacts.ru/kodeks/TK-RF/chast-iii/razdel-iii/glava-12/statja-74/" TargetMode="External"/><Relationship Id="rId5" Type="http://schemas.openxmlformats.org/officeDocument/2006/relationships/hyperlink" Target="http://legalacts.ru/doc/prikaz-mintruda-rossii-ot-26042013-n-167n/" TargetMode="External"/><Relationship Id="rId15" Type="http://schemas.openxmlformats.org/officeDocument/2006/relationships/hyperlink" Target="http://legalacts.ru/kodeks/TK-RF/" TargetMode="External"/><Relationship Id="rId10" Type="http://schemas.openxmlformats.org/officeDocument/2006/relationships/hyperlink" Target="http://legalacts.ru/doc/rasporjazhenie-pravitelstva-rf-ot-26112012-n-2190-r/" TargetMode="External"/><Relationship Id="rId19" Type="http://schemas.openxmlformats.org/officeDocument/2006/relationships/hyperlink" Target="http://legalacts.ru/kodeks/TK-RF/chast-iii/razdel-iv/glava-16/statja-100/" TargetMode="External"/><Relationship Id="rId4" Type="http://schemas.openxmlformats.org/officeDocument/2006/relationships/hyperlink" Target="http://legalacts.ru/doc/rasporjazhenie-pravitelstva-rf-ot-26112012-n-2190-r/" TargetMode="External"/><Relationship Id="rId9" Type="http://schemas.openxmlformats.org/officeDocument/2006/relationships/hyperlink" Target="http://legalacts.ru/kodeks/TK-RF/chast-iii/razdel-iii/glava-11/" TargetMode="External"/><Relationship Id="rId14" Type="http://schemas.openxmlformats.org/officeDocument/2006/relationships/hyperlink" Target="http://legalacts.ru/kodeks/TK-RF/chast-iii/razdel-iii/glava-10/statja-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2903</Words>
  <Characters>16551</Characters>
  <Application>Microsoft Office Word</Application>
  <DocSecurity>0</DocSecurity>
  <Lines>137</Lines>
  <Paragraphs>38</Paragraphs>
  <ScaleCrop>false</ScaleCrop>
  <Company>Krokoz™ Inc.</Company>
  <LinksUpToDate>false</LinksUpToDate>
  <CharactersWithSpaces>19416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2017-07-18T08:30:00Z</dcterms:created>
  <dcterms:modified xsi:type="dcterms:W3CDTF">2017-07-18T08:31:00Z</dcterms:modified>
</cp:coreProperties>
</file>