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59" w:rsidRPr="00725D59" w:rsidRDefault="00725D59" w:rsidP="00D069C3">
      <w:pPr>
        <w:spacing w:before="100" w:beforeAutospacing="1" w:after="300" w:line="390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005EA5"/>
          <w:kern w:val="36"/>
          <w:sz w:val="28"/>
          <w:szCs w:val="28"/>
          <w:lang w:eastAsia="ru-RU"/>
        </w:rPr>
      </w:pPr>
      <w:r w:rsidRPr="00725D59">
        <w:rPr>
          <w:rFonts w:ascii="Open Sans" w:eastAsia="Times New Roman" w:hAnsi="Open Sans" w:cs="Times New Roman"/>
          <w:b/>
          <w:bCs/>
          <w:color w:val="005EA5"/>
          <w:kern w:val="36"/>
          <w:sz w:val="28"/>
          <w:szCs w:val="28"/>
          <w:lang w:eastAsia="ru-RU"/>
        </w:rPr>
        <w:t>Письмо&gt; Минкультуры России от 14.07.2016 N 217-01-39-нм</w:t>
      </w:r>
      <w:proofErr w:type="gramStart"/>
      <w:r w:rsidRPr="00725D59">
        <w:rPr>
          <w:rFonts w:ascii="Open Sans" w:eastAsia="Times New Roman" w:hAnsi="Open Sans" w:cs="Times New Roman"/>
          <w:b/>
          <w:bCs/>
          <w:color w:val="005EA5"/>
          <w:kern w:val="36"/>
          <w:sz w:val="28"/>
          <w:szCs w:val="28"/>
          <w:lang w:eastAsia="ru-RU"/>
        </w:rPr>
        <w:t>&lt; О</w:t>
      </w:r>
      <w:proofErr w:type="gramEnd"/>
      <w:r w:rsidRPr="00725D59">
        <w:rPr>
          <w:rFonts w:ascii="Open Sans" w:eastAsia="Times New Roman" w:hAnsi="Open Sans" w:cs="Times New Roman"/>
          <w:b/>
          <w:bCs/>
          <w:color w:val="005EA5"/>
          <w:kern w:val="36"/>
          <w:sz w:val="28"/>
          <w:szCs w:val="28"/>
          <w:lang w:eastAsia="ru-RU"/>
        </w:rPr>
        <w:t xml:space="preserve"> направлении рекомендаций по особенностям введения типовых отраслевых норм труда на работы, выполняемые в культурно-досуговых учреждениях и других организациях культурно-досугового типа&gt;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0" w:name="100001"/>
      <w:bookmarkEnd w:id="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МИНИСТЕРСТВО КУЛЬТУРЫ РОССИЙСКОЙ ФЕДЕРАЦИИ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" w:name="100002"/>
      <w:bookmarkEnd w:id="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ПИСЬМО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от 14 июля 2016 г. N 217-01-39-нм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" w:name="100003"/>
      <w:bookmarkEnd w:id="2"/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Министерство культуры Российской Федерации в целях оказания методической помощи направляет </w:t>
      </w:r>
      <w:hyperlink r:id="rId4" w:anchor="100016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рекомендации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 особенностям введения типовых отраслевых норм труда на работы, выполняемые в культурно-досуговых учреждениях и других организациях культурно-досугового типа с разъяснениями по применению приказов Минкультуры России от 30.12.2015 N 3448 "Об утверждении типовых отраслевых норм труда на работы, выполняемые в культурно-досуговых учреждениях и других организациях культурно-досугового типа", от 30.12.2015 N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3453 "Об утверждении Методических рекомендаций по формированию штатной численности работников государственных (муниципальных) культурно-досуговых учреждений и других организаций культурно-досугового типа с учетом отраслевой специфики".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" w:name="100004"/>
      <w:bookmarkEnd w:id="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Указанные приказы размещены на официальном сайте Минкультуры России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mkrf.ru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 разделах "Главная", "Министерство", "Департаменты", "Департамент экономики и финансов", "Приказы"/"Методические рекомендации" и могут быть использованы в работе.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" w:name="100005"/>
      <w:bookmarkEnd w:id="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Обращаем внимание на необходимость внедрения типовых отраслевых норм труда в учреждениях и указания соответствующей информации в рамках отчета по мониторингу </w:t>
      </w:r>
      <w:hyperlink r:id="rId5" w:anchor="100009" w:history="1">
        <w:proofErr w:type="gramStart"/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Программы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поэтапного совершенствования системы оплаты труда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 государственных (муниципальных) учреждениях на 2012 - 2018 годы, утвержденной распоряжением Правительства Российской Федерации от 26.11.2012 N 2190-р.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" w:name="100006"/>
      <w:bookmarkEnd w:id="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Одновременно сообщаем, что в целях организации управления процессами планирования и контроля формирования штатных расписаний учреждений культуры на основе утвержденных норм труда Минкультуры России разработан интерактивный электронный сервис, который обеспечивает: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" w:name="100007"/>
      <w:bookmarkEnd w:id="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расчет трудозатрат по видам деятельности и операциям;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" w:name="100008"/>
      <w:bookmarkEnd w:id="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расчет оптимальной штатной численности учреждения;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" w:name="100009"/>
      <w:bookmarkEnd w:id="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распределение видов деятельности и расчет трудозатрат, штатной численности по категориям: административно-управленческий персонал, основной персонал и вспомогательный персонал;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" w:name="100010"/>
      <w:bookmarkEnd w:id="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формирование штатного расписания учреждений с учетом определенной нормативной численности в соответствии с выполняемыми в учреждении объемами работ.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" w:name="100011"/>
      <w:bookmarkEnd w:id="1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Сервис позволяет проанализировать деятельность учреждения в разрезе видов и трудовых операций, рассчитать нормативную штатную численность и сформировать штатное расписание в соответствии с принятыми нормами труда, времени и численности.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" w:name="100012"/>
      <w:bookmarkEnd w:id="1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В настоящее время данный сервис доступен для библиотек, музеев, зоопарков. В IV квартале 2016 г. также будет доступен для культурно-досуговых учреждений.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2" w:name="100013"/>
      <w:bookmarkEnd w:id="1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Доступ в указанный сервис предоставляется всем учреждениям в соответствии с поступившими запросами. Для получения доступа необходимо направлять письменный запрос с указанием ИНН и наименования организации по адресу электронной почты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support@intellectr.ru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, далее следовать присылаемым рекомендациям.</w:t>
      </w:r>
    </w:p>
    <w:p w:rsidR="00725D59" w:rsidRPr="00725D59" w:rsidRDefault="00725D59" w:rsidP="00725D59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3" w:name="100014"/>
      <w:bookmarkEnd w:id="1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Н.А.МАЛАКОВ</w:t>
      </w:r>
    </w:p>
    <w:p w:rsidR="00725D59" w:rsidRPr="00725D59" w:rsidRDefault="00725D59" w:rsidP="00725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25D59" w:rsidRPr="00725D59" w:rsidRDefault="00725D59" w:rsidP="00725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25D59" w:rsidRPr="00725D59" w:rsidRDefault="00725D59" w:rsidP="00725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25D59" w:rsidRPr="00725D59" w:rsidRDefault="00725D59" w:rsidP="00725D59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4" w:name="100015"/>
      <w:bookmarkEnd w:id="1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Приложение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5" w:name="100016"/>
      <w:bookmarkEnd w:id="1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РЕКОМЕНДАЦИИ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ПО ОСОБЕННОСТЯМ ВВЕДЕНИЯ ТИПОВЫХ ОТРАСЛЕВЫХ НОРМ ТРУДА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 РАБОТЫ, ВЫПОЛНЯЕМЫЕ В КУЛЬТУРНО-ДОСУГОВЫХ УЧРЕЖДЕНИЯХ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И ДРУГИХ ОРГАНИЗАЦИЯХ КУЛЬТУРНО-ДОСУГОВОГО ТИПА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(ДАЛЕЕ - РЕКОМЕНДАЦИИ)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6" w:name="100017"/>
      <w:bookmarkEnd w:id="1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I. Общие положения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7" w:name="100018"/>
      <w:bookmarkEnd w:id="1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1. </w:t>
      </w:r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Настоящие Рекомендации разработаны в целях оказания методической помощи по введению типовых отраслевых </w:t>
      </w:r>
      <w:hyperlink r:id="rId6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труда на работы, выполняемые в культурно-досуговых учреждениях и других организациях культурно-досугового типа (далее - нормы труда КДУ), утвержденных приказом Минкультуры России от 30.12.2015 N 3448 (зарегистрирован Минюстом России 02.02.2016, регистрационный N 40938) (далее - приказ N 3448) и в дополнение к Методическим </w:t>
      </w:r>
      <w:hyperlink r:id="rId7" w:anchor="100009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рекомендациям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 формированию штатной численности работников государственных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(муниципальных) культурно-досуговых учреждений и других организаций культурно-досугового типа с учетом отраслевой специфики (далее - Учреждение), утвержденным приказом Минкультуры России от 30.12.2015 N 3453 (далее - Методические рекомендации N 3453).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8" w:name="100019"/>
      <w:bookmarkEnd w:id="1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 xml:space="preserve">2. Рекомендации могут быть использованы при введении </w:t>
      </w:r>
      <w:hyperlink r:id="rId8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труда КДУ в культурно-досуговых учреждениях и других организациях культурно-досугового типа любых форм собственности и организационно-правовых форм.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9" w:name="100020"/>
      <w:bookmarkEnd w:id="1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3. </w:t>
      </w:r>
      <w:hyperlink r:id="rId9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Нормы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труда КДУ разработаны на основе расчетов результатов исследований и их апробаций в учреждениях.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0" w:name="100021"/>
      <w:bookmarkEnd w:id="2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4. </w:t>
      </w:r>
      <w:hyperlink r:id="rId10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Нормы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труда КДУ характеризуют оптимальный уровень напряженности (интенсивности) труда при выполнении работ (оказании государственных (муниципальных) услуг) по основной деятельности.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1" w:name="100022"/>
      <w:bookmarkEnd w:id="2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5. Введение в действие норм труда и штатной численности персонала, а также их пересмотр осуществляется в соответствии с Трудовым </w:t>
      </w:r>
      <w:hyperlink r:id="rId11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Российской Федерации (далее - ТК РФ) с учетом мнения представительного органа работников.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2" w:name="100023"/>
      <w:bookmarkEnd w:id="2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6. При внедрении </w:t>
      </w:r>
      <w:hyperlink r:id="rId12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труда КДУ в Учреждениях проводится оценка потребности в квалификационных работах согласно государственному заданию, на основе которых вводятся соответствующие должности и профессии.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3" w:name="100024"/>
      <w:bookmarkEnd w:id="2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II. Разработка нормирования труда в Учреждении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4" w:name="100025"/>
      <w:bookmarkEnd w:id="2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7. Процесс нормирования труда в Учреждении основан на определении норм затрат труда, под которыми понимается установленный для работника объем работы в час, день (смену), неделю, месяц, год, который он обязан выполнить при нормальных условиях работы. Нормы затрат труда являются исходной базой для осуществляемой в учреждении работы по организации труда. С их помощью определяются эффективные (требующие наименьших затрат рабочего времени) варианты технологии оказания услуг, наиболее рациональные формы разделения и кооперации труда, эффективные приемы и способы выполнения работы.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5" w:name="100026"/>
      <w:bookmarkEnd w:id="2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8. При внедрении норм затрат труда устанавливается предусмотренный регламент работы, который должен соблюдаться каждым работником на его индивидуальном или коллективном рабочем месте.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6" w:name="100027"/>
      <w:bookmarkEnd w:id="2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9. Разработка нормирования труда в Учреждении осуществляется в соответствии с Методическими </w:t>
      </w:r>
      <w:hyperlink r:id="rId13" w:anchor="100008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рекомендациями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 разработке систем нормирования труда в государственных (муниципальных) учреждениях, утвержденных приказом Минтруда России от 30.09.2013 N 504 (далее - Методические рекомендации N 504).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7" w:name="100028"/>
      <w:bookmarkEnd w:id="2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10. </w:t>
      </w:r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 основе типовых норм труда могут быть определены для применения в Учреждении:</w:t>
      </w:r>
      <w:proofErr w:type="gramEnd"/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8" w:name="100029"/>
      <w:bookmarkEnd w:id="2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нормы времени (затраты рабочего времени на выполнение единицы работы (функции) или оказание услуги одним или группой работников соответствующей квалификации);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29" w:name="100030"/>
      <w:bookmarkEnd w:id="2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нормы обслуживания (количество объектов (рабочих мест, оборудования, площадей и т.п.), которые работник или группа работников соответствующей квалификации обязаны обслужить в течение единицы рабочего времени);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0" w:name="100031"/>
      <w:bookmarkEnd w:id="3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нормы численности (установленная численность работников определенного профессионально-квалификационного состава, необходимая для выполнения конкретных производственных, управленческих функций или объемов работ).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1" w:name="100032"/>
      <w:bookmarkEnd w:id="3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Рекомендуемые методики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 приведены в </w:t>
      </w:r>
      <w:hyperlink r:id="rId14" w:anchor="100087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Приложении N 1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к Методическим рекомендациям N 504.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2" w:name="100033"/>
      <w:bookmarkEnd w:id="3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11. Согласно Методическим </w:t>
      </w:r>
      <w:hyperlink r:id="rId15" w:anchor="100008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рекомендациям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N 504: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3" w:name="100034"/>
      <w:bookmarkEnd w:id="3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1) при создании более прогрессивных организационно-технических условий выполнения технологических (трудовых) процессов или их несоответствии типовым нормам труда рекомендуется использовать типовые нормы труда в качестве базы при определении и обосновании норм труда путем их корректировки с учетом фактических организационно-технологических условий выполнения технологических (трудовых) процессов в Учреждении.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4" w:name="100035"/>
      <w:bookmarkEnd w:id="3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Примеры (алгоритмы) расчета норм труда путем коррекции типовых норм труда с учетом организационно-технологических условий выполнения технологических (трудовых) процессов в учреждении приведены в </w:t>
      </w:r>
      <w:hyperlink r:id="rId16" w:anchor="1002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приложении N 2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к Методическим рекомендациям N 504;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5" w:name="100036"/>
      <w:bookmarkEnd w:id="3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2) при планировании мер по повышению эффективности оказания государственных (муниципальных) услуг типовые нормы труда рекомендуется использовать в качестве эталона: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6" w:name="100037"/>
      <w:bookmarkEnd w:id="3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для учреждений, в которых организационно-технические условия ниже уровня, на который рассчитаны типовые нормы;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7" w:name="100038"/>
      <w:bookmarkEnd w:id="3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при исследовании затрат рабочего времени и анализе потерь рабочего времени.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8" w:name="100039"/>
      <w:bookmarkEnd w:id="3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После принятия мер по изменению организационно-технических условий выполнения технологических (трудовых) процессов нормы труда в Учреждении могут быть пересмотрены в установленном законодательством порядке;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39" w:name="100040"/>
      <w:bookmarkEnd w:id="3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3) при отсутствии типовых норм труда по отдельным видам работ и рабочим местам соответствующие нормы труда разрабатываются в Учреждении с учетом рекомендаций организации, осуществляющей функции и полномочия учредителя, либо с привлечением соответствующих специалистов в установленном порядке;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0" w:name="100041"/>
      <w:bookmarkEnd w:id="4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4) содержанием работы по определению норм труда являются: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1" w:name="100042"/>
      <w:bookmarkEnd w:id="4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анализ трудового процесса на основе стандарта оказания государственной (муниципальной) услуги, разделение его на части;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2" w:name="100043"/>
      <w:bookmarkEnd w:id="4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выбор оптимального варианта технологии и организации труда, эффективных методов и приемов работы;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3" w:name="100044"/>
      <w:bookmarkEnd w:id="4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проектирование режимов работы оборудования, приемов и методов труда, систем обслуживания рабочих мест, режимов труда и отдыха;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4" w:name="100045"/>
      <w:bookmarkEnd w:id="4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определение норм труда в соответствии с особенностями технологического и трудового процессов, их внедрение и последующая корректировка по мере изменения организационно-технических условий выполнения технологических (трудовых) процессов;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5" w:name="100046"/>
      <w:bookmarkEnd w:id="4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5) наряду с нормами труда, установленными в Учреждении на неопределенный срок, для стабильных по организационно-техническим условиям выполнения технологических (трудовых) процессов, могут применяться временные и разовые нормы труда.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6" w:name="100047"/>
      <w:bookmarkEnd w:id="4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Временные нормы труда устанавливаются на период освоения тех или иных работ при отсутствии утвержденных нормативных материалов для нормирования труда.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7" w:name="100048"/>
      <w:bookmarkEnd w:id="4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Срок действия временных норм труда, определяемых Учреждением, рекомендуется устанавливать не более 3 месяцев.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8" w:name="100049"/>
      <w:bookmarkEnd w:id="4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Разовые нормы труда определяются работодателем на отдельные работы, носящие единичный характер (внеплановые, аварийные).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49" w:name="100050"/>
      <w:bookmarkEnd w:id="4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III. Установление системы нормирования труда в Учреждении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0" w:name="100051"/>
      <w:bookmarkEnd w:id="5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12. Систему нормирования труда в Учреждении рекомендуется устанавливать в Положении о системе нормирования труда учреждения (далее - Положение), которое либо утверждается локальным нормативным актом учреждения с учетом мнения представительного органа работников, либо включается в качестве отдельного раздела в коллективный договор.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1" w:name="100052"/>
      <w:bookmarkEnd w:id="5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13.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2" w:name="100053"/>
      <w:bookmarkEnd w:id="5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14. В Положение рекомендуется включать следующие разделы: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3" w:name="100054"/>
      <w:bookmarkEnd w:id="5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1) "Применяемые в учреждении нормы труда", в котором приводятся: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4" w:name="100055"/>
      <w:bookmarkEnd w:id="5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ссылки на типовые нормы труда, использованные при определении норм труда;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5" w:name="100056"/>
      <w:bookmarkEnd w:id="5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примененные методики определения нормы численности на основе типовой нормы времени, нормы численности на основе типовой нормы обслуживания и нормы обслуживания на основе типовой нормы времени (если проводились расчеты);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6" w:name="100057"/>
      <w:bookmarkEnd w:id="5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расчет коррекции типовых норм труда с учетом организационно-технических условий выполнения технологических (трудовых) процессов в учреждении (если проводилась коррекция);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7" w:name="100058"/>
      <w:bookmarkEnd w:id="5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методы и способы установления норм труда по отдельным должностям (профессиям рабочих), видам работ (функциям), по которым отсутствуют типовые нормы труда;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8" w:name="100059"/>
      <w:bookmarkEnd w:id="5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2) "Порядок внедрения норм труда";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59" w:name="100060"/>
      <w:bookmarkEnd w:id="5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3) "Порядок организации замены и пересмотра норм труда";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0" w:name="100061"/>
      <w:bookmarkEnd w:id="6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4) "Меры, направленные на соблюдение установленных норм труда".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1" w:name="100062"/>
      <w:bookmarkEnd w:id="6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15. 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2" w:name="100063"/>
      <w:bookmarkEnd w:id="6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16. Работники извещаются о внедрении новых норм труда не позднее, чем за два месяца до их введения в действие. В аналогичный срок времени работники извещаются о корректировке ошибочных норм труда (нормы </w:t>
      </w:r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труда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при установлении которых были неправильно учтены организационно-технические условия выполнения технологических (трудовых) процессов или допущены неточности в применении нормативных материалов либо в проведении расчетов).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3" w:name="100064"/>
      <w:bookmarkEnd w:id="6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 учетом мнения представительного органа работников о снижении ошибочных норм труда работники могут быть уведомлены в более короткий срок.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4" w:name="100065"/>
      <w:bookmarkEnd w:id="6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17. Форма извещения о внедрении новых норм труда определяется учреждением самостоятельно. При этом рекомендуется указать ранее действовавшие нормы труда, новые нормы труда, факторы, послужившие основанием введения новых норм труда или их корректировки.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5" w:name="100066"/>
      <w:bookmarkEnd w:id="6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18. Рекомендуется перед введением новых норм труда провести инструктаж и обучение работников наиболее эффективным приемам и методам выполнения работ, при этом могут быть использованы как индивидуальные, так и групповые формы их проведения.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6" w:name="100067"/>
      <w:bookmarkEnd w:id="6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19. При проведении работ по освоению норм труда рекомендуется анализировать степень освоения работ каждым работником на основе данных о выполнении норм.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7" w:name="100068"/>
      <w:bookmarkEnd w:id="6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При освоении норм труда в связи с введением новой техники и технологии, когда наряду с овладением рациональными приемами труда работникам необходимо приобретение новых теоретических и практических знаний, рекомендуется проведение обучения работников.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8" w:name="100069"/>
      <w:bookmarkEnd w:id="68"/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При освоении новых видов работ (стандартов оказания государственных (муниципальных услуг) или несоответствии фактических организационно-технических условий выполнения технологических (трудовых) процессов запроектированным во вновь вводимых нормах труда рекомендуется применять поправочные коэффициенты.</w:t>
      </w:r>
      <w:proofErr w:type="gramEnd"/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69" w:name="100070"/>
      <w:bookmarkEnd w:id="6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20. Рекомендуется предусмотреть срок проведения анализа для определения целесообразности пересмотра применяющихся норм труда не реже чем один раз в пять лет. По итогам анализа может быть принято решение о сохранении установленных норм труда или о разработке новых норм труда. </w:t>
      </w:r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До введения новых норм труда продолжают применяться ранее установленные.</w:t>
      </w:r>
      <w:proofErr w:type="gramEnd"/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0" w:name="100071"/>
      <w:bookmarkEnd w:id="7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Нормы труда могут быть пересмотрены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1" w:name="100072"/>
      <w:bookmarkEnd w:id="7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Рекомендуется внедрять новые нормы труда в учреждениях одновременно с внедрением новых стандартов оказания услуг, новой техники, технологии, видов продукции (услуг).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2" w:name="100073"/>
      <w:bookmarkEnd w:id="7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Иные основания пересмотра норм труда не установлены трудовым законодательством. Перевыполнение норм труда отдельными работниками, в том числе за счет высокого уровня личных профессиональных качеств, применения по их инициативе новых приемов труда и совершенствования рабочих мест не может рассматриваться в качестве основания для пересмотра установленных в учреждении норм труда.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3" w:name="100074"/>
      <w:bookmarkEnd w:id="7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Пересмотр ошибочных норм труда осуществляется по мере их выявления с учетом мнения представительного органа работников.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4" w:name="100075"/>
      <w:bookmarkEnd w:id="7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5" w:name="100076"/>
      <w:bookmarkEnd w:id="7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исправное состояние помещений, сооружений, машин, технологической оснастки и оборудования;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6" w:name="100077"/>
      <w:bookmarkEnd w:id="7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своевременное обеспечение технической и иной необходимой для работы документацией;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7" w:name="100078"/>
      <w:bookmarkEnd w:id="7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8" w:name="100079"/>
      <w:bookmarkEnd w:id="7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условия труда, соответствующие требованиям охраны труда и безопасности производства.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79" w:name="100080"/>
      <w:bookmarkEnd w:id="7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IV. Особенности введения типовых отраслевых норм труда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 работы, выполняемые в культурно-досуговых учреждениях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и других организациях культурно-досугового типа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0" w:name="100081"/>
      <w:bookmarkEnd w:id="8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 xml:space="preserve">22. Штатная численность работников Учреждения рассчитывается на основе показателей трудозатрат и нормативной численности по видам норм, установленных </w:t>
      </w:r>
      <w:hyperlink r:id="rId17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приказом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N 3448, с учетом порядка определения штатной численности работников, установленного в </w:t>
      </w:r>
      <w:hyperlink r:id="rId18" w:anchor="10008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разделе II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Методических рекомендаций N 3453.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1" w:name="100082"/>
      <w:bookmarkEnd w:id="8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23. На основе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госзадания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 первую очередь следует определить общие трудозатраты на объем работ руководителей коллективов планируемого периода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Тобщ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.) по следующей формуле: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2" w:name="100083"/>
      <w:bookmarkEnd w:id="82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Тобщ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= N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x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m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, где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3" w:name="100084"/>
      <w:bookmarkEnd w:id="8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N - количество занятий в неделю, согласно графику занятий, но не реже двух раз в неделю;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4" w:name="100085"/>
      <w:bookmarkEnd w:id="84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m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- продолжительность одного занятия в количестве учебных часов (не менее трех учебных часов) с учетом времени на отдых по 15 минут на занятие.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5" w:name="100086"/>
      <w:bookmarkEnd w:id="8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Так, например, занятия в коллективе проводятся 2 раза в неделю (N) по 3 учебных часа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m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 каждое занятие (60 мин. с учетом 15 мин. времени отдыха):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6" w:name="100087"/>
      <w:bookmarkEnd w:id="86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Тобщ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= 2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x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3 час. = 6 час.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7" w:name="100088"/>
      <w:bookmarkEnd w:id="8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Далее определяем нормы численности руководителя одного клубного формирования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Чн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8" w:name="100089"/>
      <w:bookmarkEnd w:id="88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Чн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=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Тобщ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/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Фрв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, где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89" w:name="100090"/>
      <w:bookmarkEnd w:id="89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Фрв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- фонд рабочего времени на планируемый период, час;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0" w:name="100091"/>
      <w:bookmarkEnd w:id="9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Например: фонд времени руководителя 1 клубного формирования за неделю, предназначенный для проведения занятий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Фрв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), составляет 18 часов в неделю, норма численности руководителя одного клубного формирования за неделю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Чн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 = 6 часов / 18 часов = 0,33 шт. ед.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1" w:name="100092"/>
      <w:bookmarkEnd w:id="9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Затем определяем плановый коэффициент невыходов работников в Учреждении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Кн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2" w:name="100093"/>
      <w:bookmarkEnd w:id="9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3" w:name="100094"/>
      <w:bookmarkEnd w:id="9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Например, работник отсутствовал на работе 38 дней, из которых: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4" w:name="100095"/>
      <w:bookmarkEnd w:id="9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28 дней - оплачиваемый отпуск;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5" w:name="100096"/>
      <w:bookmarkEnd w:id="9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10 дней - отсутствие по уважительной причине (больничные, административные отпуска и т.п.);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6" w:name="100097"/>
      <w:bookmarkEnd w:id="9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247 дней - количество рабочих дней в году согласно производственному календарю на 2016 год.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7" w:name="100098"/>
      <w:bookmarkEnd w:id="9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При этом определяем % невыходов: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8" w:name="100099"/>
      <w:bookmarkEnd w:id="9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,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99" w:name="100100"/>
      <w:bookmarkEnd w:id="9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Итого коэффициент невыходов составляет: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0" w:name="100101"/>
      <w:bookmarkEnd w:id="10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1" w:name="100102"/>
      <w:bookmarkEnd w:id="10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С учетом коэффициента невыходов рассчитывается штатная численность руководителя 1 клубного формирования (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Чш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), которая определяется по следующей формуле:</w:t>
      </w:r>
    </w:p>
    <w:p w:rsidR="00725D59" w:rsidRPr="00725D59" w:rsidRDefault="00725D59" w:rsidP="00725D59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2" w:name="100103"/>
      <w:bookmarkEnd w:id="102"/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Чш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=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Чн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x</w:t>
      </w:r>
      <w:proofErr w:type="spellEnd"/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К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н.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3" w:name="100104"/>
      <w:bookmarkEnd w:id="10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 данном примере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Чш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= 0,33 </w:t>
      </w:r>
      <w:proofErr w:type="spell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x</w:t>
      </w:r>
      <w:proofErr w:type="spell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1,15 = 0,38 (= 0,5 шт. ед. на 1 клубное формирование).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4" w:name="100105"/>
      <w:bookmarkEnd w:id="10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По необходимости руководители могут приглашать коллективы на репетиции чаще предусмотренного расписанием времени, например, в период подготовки к концерту, фестивалю, конкурсу, смотру и другим подобным мероприятиям. При этом время расписания занятий должно быть согласовано с администрацией Учреждения и заранее сообщено участникам коллектива.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5" w:name="100106"/>
      <w:bookmarkEnd w:id="10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Фонд рабочего времени руководителя клубного формирования в соответствии со </w:t>
      </w:r>
      <w:hyperlink r:id="rId19" w:anchor="100675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статьей 91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ТК РФ определяется исходя из 40-часовой рабочей недели.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6" w:name="100107"/>
      <w:bookmarkEnd w:id="10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24. С учетом штатной численности руководителя клубного формирования определяются нормы численности творческих работников коллективов самодеятельного искусства, клубных формирований, студий, кружков в процентном отношении от численности руководителя (</w:t>
      </w:r>
      <w:hyperlink r:id="rId20" w:anchor="100016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таблица 1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приказа N 3448).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7" w:name="100108"/>
      <w:bookmarkEnd w:id="10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В случае</w:t>
      </w:r>
      <w:proofErr w:type="gramStart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,</w:t>
      </w:r>
      <w:proofErr w:type="gramEnd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если в соответствии с установленным государственным заданием и графиком занятий в (детском) коллективе самодеятельного искусства несколько (возрастных) групп, занимающихся в одно и то же время, но в разных репетиционных помещениях, нормы численности творческих работников для проведения таких занятий умножаются на количество необходимых групп.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8" w:name="100109"/>
      <w:bookmarkEnd w:id="10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25. Расчет штатной численности работников, занятых организацией и проведением культурно-массовых мероприятий, определяется на основе показателей укрупненных норм трудоемкости (количество культурно-массовых мероприятий, количество посетителей на 1 мероприятие, количество залов, классов, сценических площадок и других показателей), установленных </w:t>
      </w:r>
      <w:hyperlink r:id="rId21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приказом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N 3448.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09" w:name="100110"/>
      <w:bookmarkEnd w:id="10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Одним из наиболее важных показателей трудоемкости указанной категории работников является показатель "Количество культурно-массовых мероприятий".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0" w:name="100111"/>
      <w:bookmarkEnd w:id="11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Так, например, (</w:t>
      </w:r>
      <w:hyperlink r:id="rId22" w:anchor="100278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таблицы 4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, </w:t>
      </w:r>
      <w:hyperlink r:id="rId23" w:anchor="100365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7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приказа N 3448) государственным заданием установлено количество культурно-массовых мероприятий общей направленности на год - 75 мероприятий с общим количеством посетителей культурно-массовых мероприятий - 16 500 чел., при этом в расчет штатной численности включаются: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1" w:name="100112"/>
      <w:bookmarkEnd w:id="11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режиссер - 1 шт. ед.;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2" w:name="100113"/>
      <w:bookmarkEnd w:id="112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режиссер массовых представлений - 0,75 шт. ед.;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3" w:name="100114"/>
      <w:bookmarkEnd w:id="113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методист - 1,25 шт. ед.;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4" w:name="100115"/>
      <w:bookmarkEnd w:id="114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билетный кассир = 16 500 / 75 = 220 чел. (количество посетителей на 1 мероприятие) - 1,75 шт. ед.;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5" w:name="100116"/>
      <w:bookmarkEnd w:id="115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контролер билетов (220 чел. - количество посетителей на 1 мероприятие) 3,5 шт. ед.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6" w:name="100117"/>
      <w:bookmarkEnd w:id="116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 нормы численности работников, занятых организацией и проведением культурно-массовых мероприятий и художественно-постановочной части с учетом постановочных требований могут быть включены дополнительные должности, необходимые для выполнения поставленных задач, установленных государственным заданием (например, </w:t>
      </w:r>
      <w:hyperlink r:id="rId24" w:anchor="100239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таблицы 3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и </w:t>
      </w:r>
      <w:hyperlink r:id="rId25" w:anchor="100398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8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приказа 3448).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7" w:name="100118"/>
      <w:bookmarkEnd w:id="117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26. По тем работам, на которые в </w:t>
      </w:r>
      <w:hyperlink r:id="rId26" w:anchor="100616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таблицах 18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и </w:t>
      </w:r>
      <w:hyperlink r:id="rId27" w:anchor="100645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19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отсутствуют нормы, применяются нормы </w:t>
      </w:r>
      <w:hyperlink r:id="rId28" w:anchor="100016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таблиц 1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- </w:t>
      </w:r>
      <w:hyperlink r:id="rId29" w:anchor="100607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17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 учетом требований к введению должностей, согласно установленному государственному заданию.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8" w:name="100119"/>
      <w:bookmarkEnd w:id="118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27. Должностное категорирование (главный, ведущий, старший, 1 категории, 2 категории) устанавливается с учетом квалификационных требований, предусмотренных Единым квалификационным справочником должностей руководителей, специалистов и служащих, тарифные разряды - с учетом требований, предъявляемых к профессиональным знаниям и навыкам рабочих, согласно Единого тарифно-квалификационного справочника работ и профессий рабочих.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19" w:name="100120"/>
      <w:bookmarkEnd w:id="119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28. При отличии организационно-технических условий выполнения работ от тех, которые представлены в </w:t>
      </w:r>
      <w:hyperlink r:id="rId30" w:anchor="100010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нормах труда КДУ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, Учреждение самостоятельно вносит изменения в показатели норм труда, исходя из установленных целей и задач.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20" w:name="100121"/>
      <w:bookmarkEnd w:id="120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29. При отсутствии в </w:t>
      </w:r>
      <w:hyperlink r:id="rId31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приказе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N 3448 показателей норм труда на работы, которые выполняются в Учреждении согласно установленному государственному заданию, по ним разрабатываются нормы труда, в порядке, установленном приказом N 3448 и Методическими </w:t>
      </w:r>
      <w:hyperlink r:id="rId32" w:anchor="100009" w:history="1">
        <w:r w:rsidRPr="00D069C3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  <w:lang w:eastAsia="ru-RU"/>
          </w:rPr>
          <w:t>рекомендациями</w:t>
        </w:r>
      </w:hyperlink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N 3453, и утверждаются локальными нормативными актами учреждения.</w:t>
      </w:r>
    </w:p>
    <w:p w:rsidR="00725D59" w:rsidRPr="00725D59" w:rsidRDefault="00725D59" w:rsidP="00725D59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bookmarkStart w:id="121" w:name="100122"/>
      <w:bookmarkEnd w:id="121"/>
      <w:r w:rsidRPr="00725D59">
        <w:rPr>
          <w:rFonts w:ascii="Open Sans" w:eastAsia="Times New Roman" w:hAnsi="Open Sans" w:cs="Times New Roman"/>
          <w:sz w:val="24"/>
          <w:szCs w:val="24"/>
          <w:lang w:eastAsia="ru-RU"/>
        </w:rPr>
        <w:t>30. Формирование штатной численности административно-управленческого и вспомогательного персонала производится на основе типовых сборников норм труда, утверждаемых Минтрудом России.</w:t>
      </w:r>
    </w:p>
    <w:p w:rsidR="00725D59" w:rsidRPr="00725D59" w:rsidRDefault="00725D59" w:rsidP="00725D59">
      <w:pPr>
        <w:spacing w:line="330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</w:p>
    <w:p w:rsidR="00EB253A" w:rsidRPr="00D069C3" w:rsidRDefault="00D069C3">
      <w:pPr>
        <w:rPr>
          <w:sz w:val="24"/>
          <w:szCs w:val="24"/>
        </w:rPr>
      </w:pPr>
    </w:p>
    <w:sectPr w:rsidR="00EB253A" w:rsidRPr="00D069C3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725D59"/>
    <w:rsid w:val="001E73A5"/>
    <w:rsid w:val="007167E5"/>
    <w:rsid w:val="00725D59"/>
    <w:rsid w:val="00762CEF"/>
    <w:rsid w:val="008B7E56"/>
    <w:rsid w:val="00A636BB"/>
    <w:rsid w:val="00B23BD6"/>
    <w:rsid w:val="00D069C3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D59"/>
    <w:rPr>
      <w:color w:val="005EA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5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5D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1">
    <w:name w:val="pcenter1"/>
    <w:basedOn w:val="a"/>
    <w:rsid w:val="00725D59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725D59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1">
    <w:name w:val="pright1"/>
    <w:basedOn w:val="a"/>
    <w:rsid w:val="00725D59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4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kultury-rossii-ot-30122015-n-3448/" TargetMode="External"/><Relationship Id="rId13" Type="http://schemas.openxmlformats.org/officeDocument/2006/relationships/hyperlink" Target="http://legalacts.ru/doc/prikaz-mintruda-rossii-ot-30092013-n-504/" TargetMode="External"/><Relationship Id="rId18" Type="http://schemas.openxmlformats.org/officeDocument/2006/relationships/hyperlink" Target="http://legalacts.ru/doc/prikaz-minkultury-rossii-ot-30122015-n-3453/" TargetMode="External"/><Relationship Id="rId26" Type="http://schemas.openxmlformats.org/officeDocument/2006/relationships/hyperlink" Target="http://legalacts.ru/doc/prikaz-minkultury-rossii-ot-30122015-n-344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kultury-rossii-ot-30122015-n-344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galacts.ru/doc/prikaz-minkultury-rossii-ot-30122015-n-3453/" TargetMode="External"/><Relationship Id="rId12" Type="http://schemas.openxmlformats.org/officeDocument/2006/relationships/hyperlink" Target="http://legalacts.ru/doc/prikaz-minkultury-rossii-ot-30122015-n-3448/" TargetMode="External"/><Relationship Id="rId17" Type="http://schemas.openxmlformats.org/officeDocument/2006/relationships/hyperlink" Target="http://legalacts.ru/doc/prikaz-minkultury-rossii-ot-30122015-n-3448/" TargetMode="External"/><Relationship Id="rId25" Type="http://schemas.openxmlformats.org/officeDocument/2006/relationships/hyperlink" Target="http://legalacts.ru/doc/prikaz-minkultury-rossii-ot-30122015-n-3448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truda-rossii-ot-30092013-n-504/" TargetMode="External"/><Relationship Id="rId20" Type="http://schemas.openxmlformats.org/officeDocument/2006/relationships/hyperlink" Target="http://legalacts.ru/doc/prikaz-minkultury-rossii-ot-30122015-n-3448/" TargetMode="External"/><Relationship Id="rId29" Type="http://schemas.openxmlformats.org/officeDocument/2006/relationships/hyperlink" Target="http://legalacts.ru/doc/prikaz-minkultury-rossii-ot-30122015-n-3448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kultury-rossii-ot-30122015-n-3448/" TargetMode="External"/><Relationship Id="rId11" Type="http://schemas.openxmlformats.org/officeDocument/2006/relationships/hyperlink" Target="http://legalacts.ru/kodeks/TK-RF/" TargetMode="External"/><Relationship Id="rId24" Type="http://schemas.openxmlformats.org/officeDocument/2006/relationships/hyperlink" Target="http://legalacts.ru/doc/prikaz-minkultury-rossii-ot-30122015-n-3448/" TargetMode="External"/><Relationship Id="rId32" Type="http://schemas.openxmlformats.org/officeDocument/2006/relationships/hyperlink" Target="http://legalacts.ru/doc/prikaz-minkultury-rossii-ot-30122015-n-3453/" TargetMode="External"/><Relationship Id="rId5" Type="http://schemas.openxmlformats.org/officeDocument/2006/relationships/hyperlink" Target="http://legalacts.ru/doc/rasporjazhenie-pravitelstva-rf-ot-26112012-n-2190-r/" TargetMode="External"/><Relationship Id="rId15" Type="http://schemas.openxmlformats.org/officeDocument/2006/relationships/hyperlink" Target="http://legalacts.ru/doc/prikaz-mintruda-rossii-ot-30092013-n-504/" TargetMode="External"/><Relationship Id="rId23" Type="http://schemas.openxmlformats.org/officeDocument/2006/relationships/hyperlink" Target="http://legalacts.ru/doc/prikaz-minkultury-rossii-ot-30122015-n-3448/" TargetMode="External"/><Relationship Id="rId28" Type="http://schemas.openxmlformats.org/officeDocument/2006/relationships/hyperlink" Target="http://legalacts.ru/doc/prikaz-minkultury-rossii-ot-30122015-n-3448/" TargetMode="External"/><Relationship Id="rId10" Type="http://schemas.openxmlformats.org/officeDocument/2006/relationships/hyperlink" Target="http://legalacts.ru/doc/prikaz-minkultury-rossii-ot-30122015-n-3448/" TargetMode="External"/><Relationship Id="rId19" Type="http://schemas.openxmlformats.org/officeDocument/2006/relationships/hyperlink" Target="http://legalacts.ru/kodeks/TK-RF/chast-iii/razdel-iv/glava-15/" TargetMode="External"/><Relationship Id="rId31" Type="http://schemas.openxmlformats.org/officeDocument/2006/relationships/hyperlink" Target="http://legalacts.ru/doc/prikaz-minkultury-rossii-ot-30122015-n-3448/" TargetMode="External"/><Relationship Id="rId4" Type="http://schemas.openxmlformats.org/officeDocument/2006/relationships/hyperlink" Target="http://legalacts.ru/doc/pismo-minkultury-rossii-ot-14072016-n-217-01-39-nm/" TargetMode="External"/><Relationship Id="rId9" Type="http://schemas.openxmlformats.org/officeDocument/2006/relationships/hyperlink" Target="http://legalacts.ru/doc/prikaz-minkultury-rossii-ot-30122015-n-3448/" TargetMode="External"/><Relationship Id="rId14" Type="http://schemas.openxmlformats.org/officeDocument/2006/relationships/hyperlink" Target="http://legalacts.ru/doc/prikaz-mintruda-rossii-ot-30092013-n-504/" TargetMode="External"/><Relationship Id="rId22" Type="http://schemas.openxmlformats.org/officeDocument/2006/relationships/hyperlink" Target="http://legalacts.ru/doc/prikaz-minkultury-rossii-ot-30122015-n-3448/" TargetMode="External"/><Relationship Id="rId27" Type="http://schemas.openxmlformats.org/officeDocument/2006/relationships/hyperlink" Target="http://legalacts.ru/doc/prikaz-minkultury-rossii-ot-30122015-n-3448/" TargetMode="External"/><Relationship Id="rId30" Type="http://schemas.openxmlformats.org/officeDocument/2006/relationships/hyperlink" Target="http://legalacts.ru/doc/prikaz-minkultury-rossii-ot-30122015-n-34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3599</Words>
  <Characters>20515</Characters>
  <Application>Microsoft Office Word</Application>
  <DocSecurity>0</DocSecurity>
  <Lines>170</Lines>
  <Paragraphs>48</Paragraphs>
  <ScaleCrop>false</ScaleCrop>
  <Company>Krokoz™ Inc.</Company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2017-07-17T07:38:00Z</dcterms:created>
  <dcterms:modified xsi:type="dcterms:W3CDTF">2017-07-17T07:38:00Z</dcterms:modified>
</cp:coreProperties>
</file>