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6F7FFE" w:rsidRPr="00C60C7A">
            <w:rPr>
              <w:rFonts w:ascii="Times New Roman" w:eastAsia="Arial Unicode MS" w:hAnsi="Times New Roman" w:cs="Times New Roman"/>
              <w:sz w:val="40"/>
              <w:szCs w:val="40"/>
            </w:rPr>
            <w:t>Лабораторный химический анализ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B95B16" w:rsidRDefault="00DC20BC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Регионального </w:t>
          </w:r>
          <w:r w:rsidR="006F7F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э</w:t>
          </w:r>
          <w:r w:rsidR="006F7FFE" w:rsidRPr="006F7F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тапа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в</w:t>
          </w:r>
          <w:r w:rsidR="006F7F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</w:t>
          </w:r>
          <w:r w:rsidR="00FA2BEC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(юниоры)</w:t>
          </w:r>
          <w:bookmarkStart w:id="0" w:name="_GoBack"/>
          <w:bookmarkEnd w:id="0"/>
        </w:p>
        <w:p w:rsidR="00334165" w:rsidRPr="00B95B16" w:rsidRDefault="00D75D8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75D8A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Республика Карелия</w:t>
          </w:r>
        </w:p>
      </w:sdtContent>
    </w:sdt>
    <w:p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6F7FFE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:rsidR="006F7FFE" w:rsidRDefault="006F7FFE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6F7FFE" w:rsidRPr="00EB4FF8" w:rsidRDefault="006F7FFE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Конкурсное задание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DC20BC" w:rsidRPr="00DC20BC" w:rsidRDefault="00195943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DC20BC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DC20BC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DC20BC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11851174" w:history="1">
        <w:r w:rsidR="00DC20BC" w:rsidRPr="00DC20BC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ab/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instrText xml:space="preserve"> PAGEREF _Toc211851174 \h </w:instrText>
        </w:r>
        <w:r w:rsidRPr="00DC20BC">
          <w:rPr>
            <w:rFonts w:ascii="Times New Roman" w:hAnsi="Times New Roman"/>
            <w:noProof/>
            <w:webHidden/>
            <w:sz w:val="28"/>
          </w:rPr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>4</w:t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DC20BC" w:rsidRPr="00DC20BC" w:rsidRDefault="00195943">
      <w:pPr>
        <w:pStyle w:val="25"/>
        <w:rPr>
          <w:rFonts w:eastAsiaTheme="minorEastAsia"/>
          <w:noProof/>
          <w:sz w:val="28"/>
          <w:szCs w:val="28"/>
        </w:rPr>
      </w:pPr>
      <w:hyperlink w:anchor="_Toc211851175" w:history="1">
        <w:r w:rsidR="00DC20BC" w:rsidRPr="00DC20BC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_Toc211851175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4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195943">
      <w:pPr>
        <w:pStyle w:val="25"/>
        <w:rPr>
          <w:rFonts w:eastAsiaTheme="minorEastAsia"/>
          <w:noProof/>
          <w:sz w:val="28"/>
          <w:szCs w:val="28"/>
        </w:rPr>
      </w:pPr>
      <w:hyperlink w:anchor="_Toc211851176" w:history="1">
        <w:r w:rsidR="00DC20BC" w:rsidRPr="00DC20BC">
          <w:rPr>
            <w:rStyle w:val="ae"/>
            <w:noProof/>
            <w:sz w:val="28"/>
            <w:szCs w:val="28"/>
          </w:rPr>
          <w:t>1.2. Перечень профессиональных задач специалиста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_Toc211851176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4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195943">
      <w:pPr>
        <w:pStyle w:val="25"/>
        <w:rPr>
          <w:rFonts w:eastAsiaTheme="minorEastAsia"/>
          <w:noProof/>
          <w:sz w:val="28"/>
          <w:szCs w:val="28"/>
        </w:rPr>
      </w:pPr>
      <w:hyperlink w:anchor="_Toc211851177" w:history="1">
        <w:r w:rsidR="00DC20BC" w:rsidRPr="00DC20BC">
          <w:rPr>
            <w:rStyle w:val="ae"/>
            <w:noProof/>
            <w:sz w:val="28"/>
            <w:szCs w:val="28"/>
          </w:rPr>
          <w:t>по компетенции «Лабораторный химический анализ»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_Toc211851177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4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195943">
      <w:pPr>
        <w:pStyle w:val="25"/>
        <w:rPr>
          <w:rFonts w:eastAsiaTheme="minorEastAsia"/>
          <w:noProof/>
          <w:sz w:val="28"/>
          <w:szCs w:val="28"/>
        </w:rPr>
      </w:pPr>
      <w:hyperlink w:anchor="_Toc211851178" w:history="1">
        <w:r w:rsidR="00DC20BC" w:rsidRPr="00DC20BC">
          <w:rPr>
            <w:rStyle w:val="ae"/>
            <w:noProof/>
            <w:sz w:val="28"/>
            <w:szCs w:val="28"/>
          </w:rPr>
          <w:t>1.3. Требования к схеме оценки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_Toc211851178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9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195943">
      <w:pPr>
        <w:pStyle w:val="25"/>
        <w:rPr>
          <w:rFonts w:eastAsiaTheme="minorEastAsia"/>
          <w:noProof/>
          <w:sz w:val="28"/>
          <w:szCs w:val="28"/>
        </w:rPr>
      </w:pPr>
      <w:hyperlink w:anchor="_Toc211851179" w:history="1">
        <w:r w:rsidR="00DC20BC" w:rsidRPr="00DC20BC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_Toc211851179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10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195943">
      <w:pPr>
        <w:pStyle w:val="25"/>
        <w:rPr>
          <w:rFonts w:eastAsiaTheme="minorEastAsia"/>
          <w:noProof/>
          <w:sz w:val="28"/>
          <w:szCs w:val="28"/>
        </w:rPr>
      </w:pPr>
      <w:hyperlink w:anchor="_Toc211851180" w:history="1">
        <w:r w:rsidR="00DC20BC" w:rsidRPr="00DC20BC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_Toc211851180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10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195943">
      <w:pPr>
        <w:pStyle w:val="25"/>
        <w:rPr>
          <w:rFonts w:eastAsiaTheme="minorEastAsia"/>
          <w:noProof/>
          <w:sz w:val="28"/>
          <w:szCs w:val="28"/>
        </w:rPr>
      </w:pPr>
      <w:hyperlink w:anchor="_Toc211851181" w:history="1">
        <w:r w:rsidR="00DC20BC" w:rsidRPr="00DC20BC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_Toc211851181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10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195943">
      <w:pPr>
        <w:pStyle w:val="25"/>
        <w:rPr>
          <w:rFonts w:eastAsiaTheme="minorEastAsia"/>
          <w:noProof/>
          <w:sz w:val="28"/>
          <w:szCs w:val="28"/>
        </w:rPr>
      </w:pPr>
      <w:hyperlink w:anchor="_Toc211851182" w:history="1">
        <w:r w:rsidR="00DC20BC" w:rsidRPr="00DC20BC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_Toc211851182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11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195943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1851183" w:history="1">
        <w:r w:rsidR="00DC20BC" w:rsidRPr="00DC20BC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ab/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instrText xml:space="preserve"> PAGEREF _Toc211851183 \h </w:instrText>
        </w:r>
        <w:r w:rsidRPr="00DC20BC">
          <w:rPr>
            <w:rFonts w:ascii="Times New Roman" w:hAnsi="Times New Roman"/>
            <w:noProof/>
            <w:webHidden/>
            <w:sz w:val="28"/>
          </w:rPr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>13</w:t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DC20BC" w:rsidRPr="00DC20BC" w:rsidRDefault="00195943">
      <w:pPr>
        <w:pStyle w:val="25"/>
        <w:rPr>
          <w:rFonts w:eastAsiaTheme="minorEastAsia"/>
          <w:noProof/>
          <w:sz w:val="28"/>
          <w:szCs w:val="28"/>
        </w:rPr>
      </w:pPr>
      <w:hyperlink w:anchor="_Toc211851184" w:history="1">
        <w:r w:rsidR="00DC20BC" w:rsidRPr="00DC20BC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_Toc211851184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16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195943">
      <w:pPr>
        <w:pStyle w:val="25"/>
        <w:rPr>
          <w:rFonts w:eastAsiaTheme="minorEastAsia"/>
          <w:noProof/>
          <w:sz w:val="28"/>
          <w:szCs w:val="28"/>
        </w:rPr>
      </w:pPr>
      <w:hyperlink w:anchor="_Toc211851185" w:history="1">
        <w:r w:rsidR="00DC20BC" w:rsidRPr="00DC20BC">
          <w:rPr>
            <w:rStyle w:val="ae"/>
            <w:noProof/>
            <w:sz w:val="28"/>
            <w:szCs w:val="28"/>
          </w:rPr>
          <w:t>2.2. Материалы, оборудование и инструменты,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_Toc211851185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17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195943">
      <w:pPr>
        <w:pStyle w:val="25"/>
        <w:rPr>
          <w:rFonts w:eastAsiaTheme="minorEastAsia"/>
          <w:noProof/>
          <w:sz w:val="28"/>
          <w:szCs w:val="28"/>
        </w:rPr>
      </w:pPr>
      <w:hyperlink w:anchor="_Toc211851186" w:history="1">
        <w:r w:rsidR="00DC20BC" w:rsidRPr="00DC20BC">
          <w:rPr>
            <w:rStyle w:val="ae"/>
            <w:noProof/>
            <w:sz w:val="28"/>
            <w:szCs w:val="28"/>
          </w:rPr>
          <w:t>запрещенные на площадке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_Toc211851186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17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195943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1851187" w:history="1">
        <w:r w:rsidR="00DC20BC" w:rsidRPr="00DC20BC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ab/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instrText xml:space="preserve"> PAGEREF _Toc211851187 \h </w:instrText>
        </w:r>
        <w:r w:rsidRPr="00DC20BC">
          <w:rPr>
            <w:rFonts w:ascii="Times New Roman" w:hAnsi="Times New Roman"/>
            <w:noProof/>
            <w:webHidden/>
            <w:sz w:val="28"/>
          </w:rPr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>17</w:t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A2B8A" w:rsidRPr="00A204BB" w:rsidRDefault="00195943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DC20BC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DC20BC" w:rsidRDefault="00DC20BC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DC20BC" w:rsidRDefault="00DC20BC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D96994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ТК – Требования компетенции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КО – Критерии оценки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ПЗ – План застройки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НД – Нормативная документация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ГЭ – Главный эксперт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ТФ – Трудовые функции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ОТФ – Обобщенные трудовые функции</w:t>
      </w:r>
    </w:p>
    <w:p w:rsidR="006F7FFE" w:rsidRPr="00AF76EA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ОТ и ТБ – Охрана труда и техника безопасности</w:t>
      </w:r>
    </w:p>
    <w:p w:rsidR="00FB3492" w:rsidRPr="00AF76EA" w:rsidRDefault="00FB3492" w:rsidP="006F7FFE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</w:pPr>
    </w:p>
    <w:p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211851174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211851175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требованияхкомпетенции</w:t>
      </w:r>
      <w:bookmarkEnd w:id="3"/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6F7FFE" w:rsidRPr="00C60C7A">
        <w:rPr>
          <w:rFonts w:ascii="Times New Roman" w:hAnsi="Times New Roman" w:cs="Times New Roman"/>
          <w:sz w:val="28"/>
          <w:szCs w:val="28"/>
        </w:rPr>
        <w:t>Лабораторный химический анализ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4" w:name="_Hlk123050441"/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21185117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5"/>
      <w:r w:rsidR="00AF76EA" w:rsidRPr="00AF76EA">
        <w:rPr>
          <w:rFonts w:ascii="Times New Roman" w:hAnsi="Times New Roman"/>
          <w:szCs w:val="28"/>
        </w:rPr>
        <w:t>2. Перечень профессиональныхзадач специалиста</w:t>
      </w:r>
      <w:bookmarkEnd w:id="6"/>
    </w:p>
    <w:p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211851177"/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6F7FFE" w:rsidRPr="00C60C7A">
        <w:rPr>
          <w:rFonts w:ascii="Times New Roman" w:hAnsi="Times New Roman"/>
          <w:szCs w:val="28"/>
        </w:rPr>
        <w:t>Лабораторный химический анализ</w:t>
      </w:r>
      <w:r w:rsidR="00270E01" w:rsidRPr="00AF76EA">
        <w:rPr>
          <w:rFonts w:ascii="Times New Roman" w:hAnsi="Times New Roman"/>
          <w:szCs w:val="28"/>
        </w:rPr>
        <w:t>»</w:t>
      </w:r>
      <w:bookmarkEnd w:id="7"/>
    </w:p>
    <w:p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2"/>
        <w:gridCol w:w="7557"/>
        <w:gridCol w:w="1382"/>
      </w:tblGrid>
      <w:tr w:rsidR="000244DA" w:rsidRPr="00AF76EA" w:rsidTr="00AF76EA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:rsidTr="008A05A0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764773" w:rsidRPr="00F10695" w:rsidRDefault="00764773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764773" w:rsidRPr="00F10695" w:rsidRDefault="006F7FF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1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и безопасность работ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4773" w:rsidRPr="00AF76E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76EA" w:rsidRPr="00AF76EA" w:rsidTr="008A05A0">
        <w:tc>
          <w:tcPr>
            <w:tcW w:w="330" w:type="pct"/>
            <w:vMerge/>
            <w:shd w:val="clear" w:color="auto" w:fill="BFBFBF" w:themeFill="background1" w:themeFillShade="BF"/>
          </w:tcPr>
          <w:p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6F7FFE" w:rsidRPr="006F7FFE" w:rsidRDefault="00AF76EA" w:rsidP="006F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6F7FFE" w:rsidRPr="006F7FFE" w:rsidRDefault="006F7FFE" w:rsidP="006F7FFE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F7F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принципы планирования эксперимента</w:t>
            </w:r>
            <w:r w:rsidRPr="006F7FF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, способы выстраивания эффективной работы и распределения рабочего времени;</w:t>
            </w:r>
          </w:p>
          <w:p w:rsidR="006F7FFE" w:rsidRPr="006F7FFE" w:rsidRDefault="006F7FFE" w:rsidP="006F7FFE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F7FF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Важность поддержания рабочего места в чистоте и порядке;</w:t>
            </w:r>
          </w:p>
          <w:p w:rsidR="006F7FFE" w:rsidRDefault="006F7FFE" w:rsidP="006F7FFE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F7FF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lastRenderedPageBreak/>
              <w:t>Принципы и методы безопасной утилизации или переработки химических веществ;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охраны при работе с электрооборудованием;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охраны труда при работе с агрессивными средами;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работе с легковоспламеняющимися и горючими жидкостями; </w:t>
            </w:r>
          </w:p>
          <w:p w:rsidR="008A05A0" w:rsidRPr="006F7FFE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пожарной безопасности</w:t>
            </w:r>
          </w:p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E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AF76EA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Выполнять требования</w:t>
            </w:r>
            <w:r w:rsidRPr="008A05A0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равил техники безопасности, норм по охране труда и </w:t>
            </w:r>
            <w:r w:rsidRPr="008A05A0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 xml:space="preserve">правил противопожарной защиты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работе в химической лаборатории;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Соблюдать п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ринципы безопасной работы с химическими реактивами, стеклянной посудой и лабораторным оборудованием;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 xml:space="preserve">Правильно использовать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индивидуальной защиты, а также правильно ухаживать за ними;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Обращаться с опасными для окружающей среды веществами, проводить их утилизацию;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спецодежду при работе в лаборатории;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Эффективно использовать рабочее время;</w:t>
            </w:r>
          </w:p>
          <w:p w:rsid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Составлять и последовательно следовать плану работы в соответствии с используемой методикой анализа;</w:t>
            </w:r>
          </w:p>
          <w:p w:rsidR="008A05A0" w:rsidRPr="00AF76EA" w:rsidRDefault="008A05A0" w:rsidP="008A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Утилизировать использованные реактивы, растворы и материалы в соответствии с инструкциями.</w:t>
            </w:r>
          </w:p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C60C7A" w:rsidRDefault="00C60C7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C60C7A" w:rsidRPr="00AF76E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6F7FFE" w:rsidRDefault="00C60C7A" w:rsidP="00C6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Принцы бережливого производства: устранения потерь (избавления от лишних операций, избыточных запасов химической посуды и реактивов, перерасход реактивов и материалов); уменьшение временных затрат (структурированность рабочего места, ясность расположения предметов на рабочем месте, наличие маркировки, поддержание порядка рабочего места)</w:t>
            </w:r>
          </w:p>
          <w:p w:rsidR="00C60C7A" w:rsidRPr="0001784C" w:rsidRDefault="00C60C7A" w:rsidP="00AF7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C60C7A" w:rsidRDefault="00C60C7A" w:rsidP="00C6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7A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Организовать рабочее пространство;</w:t>
            </w:r>
          </w:p>
          <w:p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Оптимизировать процесс и устранять потери;</w:t>
            </w:r>
          </w:p>
          <w:p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Поддерживать рабочее место в чистоте и порядке;</w:t>
            </w:r>
          </w:p>
          <w:p w:rsidR="00C60C7A" w:rsidRPr="00C60C7A" w:rsidRDefault="00C60C7A" w:rsidP="00AF7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работы с оборудованием и химической посудой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Основное назначение, принципы использования и хранения необходимой лабораторной посуды, оборудования.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используемым лабораторным оборудованием, аппаратурой и контрольно-измерительными приборами.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Устройство и принцип работы используемого аналитического оборудования.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Надлежащие правила использования мерной посуды и химической посуды общего назначения в соответствии государственными стандартами и техническими условиями.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пользования аналитическими и техническими весами, установленные производителем и нормативными документами.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термометрами различных видов.</w:t>
            </w:r>
          </w:p>
          <w:p w:rsidR="00C60C7A" w:rsidRPr="0001784C" w:rsidRDefault="00C60C7A" w:rsidP="00C60C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Методы проведения калибровки применяемой мерной посуды, приборов и аппаратуры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 xml:space="preserve">Правильно подбирать, применять, мыть и хранить </w:t>
            </w:r>
            <w:r w:rsidRPr="0001784C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лабораторную посуду.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Грамотно и аккуратно обращаться с оборудованием химико-аналитических лабораторий в соответствии с руководством по эксплуатации.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Осуществлять правильную сборку лабораторных установок для заданного вида анализа.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Работать на представленном лабораторном оборудовании, проводить его обслуживание и настройку.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Надлежащим образом использовать мерную и химическую посуду общего назначения в соответствии государственными стандартами и техническими условиями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отмерять заданные объемы жидкостей с помощью мерной посуды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технические и аналитические весы в соответствии с руководством по эксплуатации.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Работать с термометрами различных видов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Проводить калибровку применяемой мерной посуды, приборов и аппаратуры в соответствии с инструкциями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Правильно снимать и записывать показания приборов.</w:t>
            </w:r>
          </w:p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8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>Подбирать для работы мерную посуду и лабораторное оборудование необходимого класса точности.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Работам с анализируемыми объектами и химическими реактивами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химические свойства и назначение </w:t>
            </w: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исследуемых или синтезируемых веществ, реагентов.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Правила отбора проб и образцов для проведения анализа химическими и инструментальными методами.</w:t>
            </w:r>
          </w:p>
          <w:p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Свойства кислот, щелочей, индикаторов и других применяемых реактивов.</w:t>
            </w:r>
          </w:p>
          <w:p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приготовления растворов точной и приблизительной концентрации.</w:t>
            </w:r>
          </w:p>
          <w:p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стандарт-титрами.</w:t>
            </w:r>
          </w:p>
          <w:p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государственными стандартными образцами (ГСО).</w:t>
            </w:r>
          </w:p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Нормативную документацию, относящуюся к контролю состава и свойств материалов с использованием химических и физико-химических методов анализа.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Подготавливать реагенты и материалы, необходимые для проведения анализа.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Соблюдать правила отбора проб и образцов для проведения анализа </w:t>
            </w:r>
            <w:r w:rsidRPr="008A05A0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химическими и инструментальными методами.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Выполнять количественный перенос проб и реактивов.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Готовить растворы точной и приблизительной концентрации.</w:t>
            </w:r>
          </w:p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Готовить растворы с использованием стандарт-титров и ГСО.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выполнения химических и физико-химических анализов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Методы и методики выполнения требуемого анализа.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Оптимальные средства и методы анализа, позволяющие эффективно выполнять поставленные задачи за минимальный срок.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Соответствие методики задачам анализа по диапазону измеряемых значений и точности.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Качественный и количественный анализ неорганических и органических веществ химическими и физико-химическими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Основы общей, аналитической, физической химии и физико-химических методов анализа.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анализа природных, фармацевтических и промышленных материалов химическими и физико-химическими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определение физических свойств и констант веществ, таких как плотность, вязкость, показатель преломления, проводимость и др.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Технику проведения основных операций химического анализа (растворения, смешения, нагревания, фильтрования и др.)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  <w:tab w:val="left" w:pos="61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установки и проверки концентрации растворов.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  <w:tab w:val="left" w:pos="61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Требования, предъявляемые к качеству проб и проводимых анализов.</w:t>
            </w:r>
          </w:p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определения массы и объема реагентов.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Выбирать и обосновывать наиболее оптимальные средства и методы анализа химического объекта.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Проводить экспериментальные работы по аттестации методик анализа стандартных образцов.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Последовательно и обдуманно осуществлять анализ в соответствии с требованиями нормативной документации. 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анализ природных, фармацевтических и промышленных материалов химическими и физико-химическими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качественный и количественный анализ неорганических и органических веществ химическими и физико-химическими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Устанавливать и проверять концентрации растворов, определять 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поправочные коэффициенты.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работы по определению содержания вещества в анализируемых материалах различными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в лабораторных условиях синтез по заданной методике.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Определять физические свойства и константы веществ, такие как плотность, вязкость, показатель преломления, проводимость и др.</w:t>
            </w:r>
          </w:p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Находить, анализировать и применять техническую документацию, такую как государственные нормативы, ГОСТы, методические указания, инструкции, спецификации производителей, диаграммы и т. д., необходимую для проведения требуемого анализа.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обработки данных и представление результатов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60C7A" w:rsidRPr="008A05A0" w:rsidRDefault="00C60C7A" w:rsidP="00C60C7A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расчета массовой доли, молярной концентрации, молярной концентрации эквивалента (нормальной), титра и других видов выражения концентрации веществ в растворе.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расчёта заданных величин, представленных в методике.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математической обработки результатов проведенных анализов.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Единицы измерения определяемых параметров.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перевода единиц измерения.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пересчета концентраций с учетом разбавления и концентрирования проб.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обработки информации с помощью специальных программ к соответствующему лабораторному оборудованию и программы для работы с электронными таблицами Excel (или аналог).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Общепринятые обозначения величин, используемых в химическом анализе.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статистической обработки результатов проведенных анализов.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Принципы расчета показателей контроля качества измерений.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Правильное представление результатов анализа в соответствии с НД.</w:t>
            </w:r>
          </w:p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Принципы оценки достоверности результатов анализа.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60C7A" w:rsidRPr="0001784C" w:rsidRDefault="00C60C7A" w:rsidP="00C60C7A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Рассчитывать массовую долю вещества, молярную концентрацию, молярную концентрацию эквивалента (нормальную), титр и другие виды концентрации вещества в растворе.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Владеть специализированной терминологией характерной для работы в химико-аналитических лабораториях.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выбирать указанные в методике формулы расчета заданных величин, использовать при расчетах значения величин, имеющие требуемые размерности.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общепринятые буквенные обозначения физических величин.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Указывать размерность всех физических величин.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производить математические расчеты и округление полученных результатов.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методы интерполяции и экстраполяции данных.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 xml:space="preserve">Проводить математическую обработку результатов анализов с использованием специального программного обеспечения к соответствующему оборудованию, программ офисного пакета приложений 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 w:eastAsia="ru-RU"/>
              </w:rPr>
              <w:t>MicrosoftOffice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 (</w:t>
            </w: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E</w:t>
            </w: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x</w:t>
            </w: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cel</w:t>
            </w: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 др.) или аналог.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Аккуратно структурированно, последовательно вести записи в отчете, четко и однозначно формулировать полученные выводы.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Проводить определение погрешности измерений в соответствии с используемой методикой.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Формулировать вывод о приемлемости результатов измерений параллельных определений.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оценку и интерпретацию результатов, формулировать соответствующие выводы.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Выделять полученный результат из общего текста отчета в виде вывода или заключения.</w:t>
            </w:r>
          </w:p>
          <w:p w:rsidR="00C60C7A" w:rsidRPr="0001784C" w:rsidRDefault="00C60C7A" w:rsidP="00C60C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Окончательный результат анализа представлять с указанием погрешности, единиц измерения и доверительной вероятности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5A0" w:rsidRDefault="008A05A0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78885655"/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11851178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8"/>
      <w:bookmarkEnd w:id="9"/>
    </w:p>
    <w:p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694" w:type="pct"/>
        <w:jc w:val="center"/>
        <w:tblLayout w:type="fixed"/>
        <w:tblLook w:val="04A0"/>
      </w:tblPr>
      <w:tblGrid>
        <w:gridCol w:w="2325"/>
        <w:gridCol w:w="577"/>
        <w:gridCol w:w="873"/>
        <w:gridCol w:w="873"/>
        <w:gridCol w:w="796"/>
        <w:gridCol w:w="32"/>
        <w:gridCol w:w="3477"/>
        <w:gridCol w:w="32"/>
      </w:tblGrid>
      <w:tr w:rsidR="00980A75" w:rsidRPr="00F10695" w:rsidTr="00980A75">
        <w:trPr>
          <w:trHeight w:val="944"/>
          <w:tblHeader/>
          <w:jc w:val="center"/>
        </w:trPr>
        <w:tc>
          <w:tcPr>
            <w:tcW w:w="3047" w:type="pct"/>
            <w:gridSpan w:val="6"/>
            <w:shd w:val="clear" w:color="auto" w:fill="92D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953" w:type="pct"/>
            <w:gridSpan w:val="2"/>
            <w:shd w:val="clear" w:color="auto" w:fill="92D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980A75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 w:val="restart"/>
            <w:shd w:val="clear" w:color="auto" w:fill="92D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21" w:type="pct"/>
            <w:shd w:val="clear" w:color="auto" w:fill="92D050"/>
            <w:vAlign w:val="center"/>
          </w:tcPr>
          <w:p w:rsidR="00980A75" w:rsidRPr="00F10695" w:rsidRDefault="00980A75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00B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86" w:type="pct"/>
            <w:shd w:val="clear" w:color="auto" w:fill="00B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3" w:type="pct"/>
            <w:shd w:val="clear" w:color="auto" w:fill="00B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53" w:type="pct"/>
            <w:gridSpan w:val="2"/>
            <w:shd w:val="clear" w:color="auto" w:fill="00B050"/>
            <w:vAlign w:val="center"/>
          </w:tcPr>
          <w:p w:rsidR="00980A75" w:rsidRPr="00F10695" w:rsidRDefault="00980A75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F10695" w:rsidRDefault="00A5444E" w:rsidP="00A5444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 w:rsidRPr="000E305C">
              <w:rPr>
                <w:color w:val="000000"/>
              </w:rPr>
              <w:t>3</w:t>
            </w:r>
            <w:r>
              <w:rPr>
                <w:color w:val="000000"/>
              </w:rPr>
              <w:t>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3,50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 w:rsidRPr="000E305C">
              <w:rPr>
                <w:color w:val="000000"/>
              </w:rPr>
              <w:t>4,5</w:t>
            </w:r>
            <w:r>
              <w:rPr>
                <w:color w:val="00000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15</w:t>
            </w: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A5444E" w:rsidRPr="00F10695" w:rsidTr="00980113">
        <w:trPr>
          <w:gridAfter w:val="1"/>
          <w:wAfter w:w="18" w:type="pct"/>
          <w:trHeight w:val="309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 w:rsidRPr="000E305C">
              <w:rPr>
                <w:color w:val="000000"/>
              </w:rPr>
              <w:t>13,5</w:t>
            </w:r>
            <w:r>
              <w:rPr>
                <w:color w:val="00000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45</w:t>
            </w:r>
          </w:p>
        </w:tc>
      </w:tr>
      <w:tr w:rsidR="00A5444E" w:rsidRPr="00F10695" w:rsidTr="00A5444E">
        <w:trPr>
          <w:gridAfter w:val="1"/>
          <w:wAfter w:w="18" w:type="pct"/>
          <w:trHeight w:val="50"/>
          <w:jc w:val="center"/>
        </w:trPr>
        <w:tc>
          <w:tcPr>
            <w:tcW w:w="1613" w:type="pct"/>
            <w:gridSpan w:val="2"/>
            <w:shd w:val="clear" w:color="auto" w:fill="00B050"/>
            <w:vAlign w:val="center"/>
          </w:tcPr>
          <w:p w:rsidR="00A5444E" w:rsidRPr="00F10695" w:rsidRDefault="00A5444E" w:rsidP="00A5444E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A5444E" w:rsidRPr="00F10695" w:rsidRDefault="00A5444E" w:rsidP="00A5444E">
            <w:pPr>
              <w:ind w:left="-116" w:right="-77"/>
              <w:jc w:val="center"/>
              <w:rPr>
                <w:sz w:val="18"/>
                <w:szCs w:val="18"/>
              </w:rPr>
            </w:pPr>
            <w:r w:rsidRPr="000E305C"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0E305C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35,00</w:t>
            </w:r>
          </w:p>
        </w:tc>
        <w:tc>
          <w:tcPr>
            <w:tcW w:w="1953" w:type="pct"/>
            <w:gridSpan w:val="2"/>
            <w:shd w:val="clear" w:color="auto" w:fill="F2F2F2" w:themeFill="background1" w:themeFillShade="F2"/>
            <w:vAlign w:val="center"/>
          </w:tcPr>
          <w:p w:rsidR="00A5444E" w:rsidRPr="00F10695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11851179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10"/>
    </w:p>
    <w:p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40"/>
        <w:gridCol w:w="3003"/>
        <w:gridCol w:w="6028"/>
      </w:tblGrid>
      <w:tr w:rsidR="008761F3" w:rsidRPr="009D04EE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810127" w:rsidRPr="009D04EE" w:rsidTr="00D17132">
        <w:tc>
          <w:tcPr>
            <w:tcW w:w="282" w:type="pct"/>
            <w:shd w:val="clear" w:color="auto" w:fill="00B050"/>
          </w:tcPr>
          <w:p w:rsidR="00810127" w:rsidRPr="00473C4A" w:rsidRDefault="00810127" w:rsidP="008101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D3D9D">
              <w:rPr>
                <w:b/>
                <w:bCs/>
                <w:sz w:val="24"/>
                <w:szCs w:val="24"/>
              </w:rPr>
              <w:t>Фотометрический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Организация рабочего места, подг</w:t>
            </w:r>
            <w:r w:rsidR="00980113">
              <w:rPr>
                <w:rFonts w:eastAsia="Calibri"/>
                <w:sz w:val="24"/>
                <w:szCs w:val="24"/>
              </w:rPr>
              <w:t>отовка оборудования и реактивов, бережливое производство</w:t>
            </w:r>
          </w:p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  <w:tr w:rsidR="00810127" w:rsidRPr="009D04EE" w:rsidTr="00D17132">
        <w:tc>
          <w:tcPr>
            <w:tcW w:w="282" w:type="pct"/>
            <w:shd w:val="clear" w:color="auto" w:fill="00B050"/>
          </w:tcPr>
          <w:p w:rsidR="00810127" w:rsidRPr="00473C4A" w:rsidRDefault="00810127" w:rsidP="008101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810127" w:rsidRPr="000D3D9D" w:rsidRDefault="00DC20BC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D3D9D">
              <w:rPr>
                <w:b/>
                <w:bCs/>
                <w:sz w:val="24"/>
                <w:szCs w:val="24"/>
              </w:rPr>
              <w:t>Титриметрический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Организация рабочего места, подг</w:t>
            </w:r>
            <w:r w:rsidR="00980113">
              <w:rPr>
                <w:rFonts w:eastAsia="Calibri"/>
                <w:sz w:val="24"/>
                <w:szCs w:val="24"/>
              </w:rPr>
              <w:t>отовка оборудования и реактивов, бережливое производство</w:t>
            </w:r>
          </w:p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  <w:tr w:rsidR="00810127" w:rsidRPr="009D04EE" w:rsidTr="00D17132">
        <w:tc>
          <w:tcPr>
            <w:tcW w:w="282" w:type="pct"/>
            <w:shd w:val="clear" w:color="auto" w:fill="00B050"/>
          </w:tcPr>
          <w:p w:rsidR="00810127" w:rsidRPr="00473C4A" w:rsidRDefault="00810127" w:rsidP="008101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810127" w:rsidRPr="000D3D9D" w:rsidRDefault="00DC20BC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D3D9D">
              <w:rPr>
                <w:b/>
                <w:bCs/>
                <w:sz w:val="24"/>
                <w:szCs w:val="24"/>
              </w:rPr>
              <w:t>Потенциометрический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Организация рабочего места, подготовка оборудования и реактивов</w:t>
            </w:r>
            <w:r w:rsidR="00980113">
              <w:rPr>
                <w:rFonts w:eastAsia="Calibri"/>
                <w:sz w:val="24"/>
                <w:szCs w:val="24"/>
              </w:rPr>
              <w:t>, бережливое производство</w:t>
            </w:r>
          </w:p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</w:tbl>
    <w:p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11851180"/>
      <w:r w:rsidRPr="00B33456">
        <w:rPr>
          <w:rFonts w:ascii="Times New Roman" w:hAnsi="Times New Roman"/>
          <w:szCs w:val="28"/>
        </w:rPr>
        <w:t>1.5. Содержание конкурсного задания</w:t>
      </w:r>
      <w:bookmarkEnd w:id="11"/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2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80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A5444E">
        <w:rPr>
          <w:rFonts w:ascii="Times New Roman" w:eastAsia="Times New Roman" w:hAnsi="Times New Roman" w:cs="Times New Roman"/>
          <w:color w:val="000000"/>
          <w:sz w:val="28"/>
          <w:szCs w:val="28"/>
        </w:rPr>
        <w:t>00 минут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</w:t>
      </w:r>
      <w:r w:rsidR="00A5444E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дней: </w:t>
      </w:r>
      <w:r w:rsidR="00A5444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5444E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</w:p>
    <w:p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211851181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2"/>
    </w:p>
    <w:p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980113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80113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10127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подвергаться изменениям, в зависимости от потребностей региона в технологиях и специалистах.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ого(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3" w:name="_Toc211851182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3"/>
    </w:p>
    <w:p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81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Фотометрический метод анализа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810127" w:rsidRPr="00810127" w:rsidRDefault="00730AE0" w:rsidP="008101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10127" w:rsidRPr="00810127">
        <w:rPr>
          <w:rFonts w:ascii="Times New Roman" w:eastAsia="Calibri" w:hAnsi="Times New Roman" w:cs="Times New Roman"/>
          <w:sz w:val="28"/>
          <w:szCs w:val="28"/>
        </w:rPr>
        <w:t>Конкурсанту необходимо составить и реализовать алгоритм выполнения экспериментального задания в соответствии с нормативным документом (НД). Приготовить необходимые реактивы для определения содержания иона металла по НД. На контроль предлагается анализируемая проба. Подготовить оборудование для эксперимента.</w:t>
      </w:r>
    </w:p>
    <w:p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80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1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Титриметрический метод анализа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9801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6472C6" w:rsidRDefault="00465470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472C6" w:rsidRPr="006472C6">
        <w:rPr>
          <w:rFonts w:ascii="Times New Roman" w:eastAsia="Calibri" w:hAnsi="Times New Roman" w:cs="Times New Roman"/>
          <w:sz w:val="28"/>
          <w:szCs w:val="28"/>
        </w:rPr>
        <w:t xml:space="preserve"> для выполнения данного модуля необходимо составить и реализовать алгоритм экспериментального задания в соответствии с нормативным документом. Подготовить оборудование для эксперимента.</w:t>
      </w:r>
    </w:p>
    <w:p w:rsidR="00980113" w:rsidRPr="006472C6" w:rsidRDefault="00980113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0113" w:rsidRPr="00F10695" w:rsidRDefault="00980113" w:rsidP="0098011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Потенциометрический метод анализа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C60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80113" w:rsidRPr="00465470" w:rsidRDefault="00980113" w:rsidP="009801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980113" w:rsidRDefault="00980113" w:rsidP="009801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данного модуля необходимо с</w:t>
      </w:r>
      <w:r w:rsidRPr="00810127">
        <w:rPr>
          <w:rFonts w:ascii="Times New Roman" w:eastAsia="Calibri" w:hAnsi="Times New Roman" w:cs="Times New Roman"/>
          <w:sz w:val="28"/>
          <w:szCs w:val="28"/>
        </w:rPr>
        <w:t>оставить и реализовать алгоритм экспериментального задания в соответствии с нормативным документом</w:t>
      </w:r>
      <w:r w:rsidRP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0127">
        <w:rPr>
          <w:rFonts w:ascii="Times New Roman" w:eastAsia="Calibri" w:hAnsi="Times New Roman" w:cs="Times New Roman"/>
          <w:sz w:val="28"/>
          <w:szCs w:val="28"/>
        </w:rPr>
        <w:t xml:space="preserve"> Подготовить оборудование для эксперимента</w:t>
      </w:r>
    </w:p>
    <w:p w:rsidR="00980113" w:rsidRPr="006472C6" w:rsidRDefault="00980113" w:rsidP="009801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72C6">
        <w:rPr>
          <w:rFonts w:ascii="Times New Roman" w:eastAsia="Calibri" w:hAnsi="Times New Roman" w:cs="Times New Roman"/>
          <w:sz w:val="28"/>
          <w:szCs w:val="28"/>
        </w:rPr>
        <w:lastRenderedPageBreak/>
        <w:t>Для получения необходимых результатов предлагается использование программы MicrosoftOfficeExcel.</w:t>
      </w:r>
    </w:p>
    <w:p w:rsidR="00980113" w:rsidRPr="00810127" w:rsidRDefault="00980113" w:rsidP="009801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5BD9" w:rsidRPr="00F10695" w:rsidRDefault="009E5BD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211851183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3"/>
      </w:r>
      <w:bookmarkEnd w:id="14"/>
      <w:bookmarkEnd w:id="15"/>
    </w:p>
    <w:p w:rsidR="006472C6" w:rsidRPr="006472C6" w:rsidRDefault="006472C6" w:rsidP="006472C6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компетенции детализируют, конкретизируют, уточняют и разъясняют элементы соревнования. Они не должны противоречить правилам чемпионата или иметь приоритет над ними.</w:t>
      </w:r>
    </w:p>
    <w:p w:rsidR="006472C6" w:rsidRPr="006472C6" w:rsidRDefault="006472C6" w:rsidP="006472C6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Количество рабочих мест на площадке должно строго соответствовать количеству аккредитованных конкурсантов соревнований.</w:t>
      </w:r>
    </w:p>
    <w:p w:rsidR="006472C6" w:rsidRPr="006472C6" w:rsidRDefault="006472C6" w:rsidP="006472C6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В случае исключения (невыполнения) одного или нескольких из модулей конкурсного задания (инвариант исключать нельзя!), время на выполнение уменьшается пропорционально времени, рекомендованного для выполнения данного модуля.</w:t>
      </w:r>
    </w:p>
    <w:p w:rsidR="006472C6" w:rsidRDefault="006472C6" w:rsidP="006472C6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 может использовать на площадке материалы и оборудование, предоставляемые площадкой проведения соревнований в соответствии с ИЛ, а также материалы, принесенные им самостоятельно в соответствии с описанием в ИЛ.</w:t>
      </w:r>
    </w:p>
    <w:p w:rsidR="006472C6" w:rsidRPr="006472C6" w:rsidRDefault="006472C6" w:rsidP="006472C6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имеют право запретить использование любых предметов, которые будут сочтены не относящимися к выполнению конкурсного задания или же способными дать конкурсанту несправедливое преимущество. 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исключения споров, разногласий, решения вопросов, возникающих на конкурсной площадке, в подготовительный день, Экспертами подписывается Лист согласования, содержащий перечень нарушений Экспертом во время пребывания на конкурсной площадке. Наказание Эксперта может заключаться в отстранении от процесса оценки и от любого контакта с Конкурсантами на Конкурсной площадке во время проведения соревнований, а также вычете у Конкурсанта, получившего преимущества, баллов пропорциональных величине приобретенного преимущества в момент совершения Экспертом нарушения. Лист согласования должен быть </w:t>
      </w: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подписан всеми экспертами на площадке. Положения, вносимые в лист согласования не должны противоречить Концепции чемпионата.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Внештатные ситуации, возникающие в любой другой день чемпионата, оформляются протоколом внештатных ситуаций на общем собрании экспертов.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лист согласования вносятся штрафные санкции для конкурсантов за нарушение Норм охраны труда, Концепции чемпионата, то конкурсанты должны быть ознакомлены с возможными штрафными санкциями до начала соревнований.</w:t>
      </w:r>
    </w:p>
    <w:p w:rsid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некоторым спорным ситуациям на конкурсной площадке представлены в таблице.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>Разъяснени</w:t>
      </w:r>
      <w:r w:rsidR="00401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472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спорных ситуаций</w:t>
      </w:r>
    </w:p>
    <w:tbl>
      <w:tblPr>
        <w:tblStyle w:val="15"/>
        <w:tblW w:w="0" w:type="auto"/>
        <w:tblLook w:val="04A0"/>
      </w:tblPr>
      <w:tblGrid>
        <w:gridCol w:w="4316"/>
        <w:gridCol w:w="5255"/>
      </w:tblGrid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носителей внешней памяти, </w:t>
            </w:r>
            <w:r w:rsidRPr="00647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диктофонов и других звукозаписывающих устройств (на планшете, в мобильном телефоне)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запрещено приносить и использовать все перечисленные устройства.</w:t>
            </w:r>
          </w:p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 запрещено использовать звукозаписывающие устройства 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174"/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Использование личных ноутбуков, планшетов, блокнотов, тетрадей, книг, шпаргалок, мобильных устройств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запрещено приносить и использовать все перечисленные устройства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306"/>
                <w:tab w:val="left" w:pos="457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Использование устройств для фото- и видеосъемки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и Экспертам разрешено использовать устройства для фото- и видеосъемки на рабочей площадке только по завершению соревнований либо только с разрешения ГЭ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Пользование нормативной и конкурсной документацией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и Экспертам запрещается выносить с конкурсной площадки бумажные или цифровые копии документов, относящихся к конкурсному заданию (методики, критерии оценки, бланки оценки, протоколы, инструкции) до момента завершения соревнований либо только с разрешения ГЭ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Сбой в работе оборудования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отказа оборудования или инструментов, предоставленных участнику Организатором конкурса, дополнительное время не будет предоставлено участнику, если 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Технический эксперт площадки сможет доказать, что технический сбой является ошибкой, неумением или результатом халатности данного участника.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участниками Норм охраны труда и техники безопасности, Регламента чемпионата, пунктов Технического описания, кодекса этики,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Участники, присутствующие на площадке должны неукоснительно соблюдать требования Норм охраны труда и техники безопасности. При незначительном нарушении требований данных документов участнику выносится замечание Главным экспертом. В случае грубого нарушения экспертная группа рассматривает отдельно каждый факт, принимает решение о штрафных санкциях для участника в виде отстранения от выполнения модуля, либо вычета баллов за часть выполненного модуля. Решение оформляется протоколом внештатных ситуаций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Выполнение конкурсного задания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В случае, если участник умышленно не выполнял экспериментальное задание (отдельный этап работы), нарушив требования НД, но запись в протоколе имеется и этот факт зарегистрирован не менее, чем у трёх экспертов, экспертная группа рассматривает отдельно каждый факт и в случае, дающему участнику несправедливое преимущество, принимает решение о штрафных санкциях для участника в виде вычета всех баллов, либо вычета баллов за часть выполненного модуля, следующую за нарушением. Решение оформляется протоколом внештатных ситуаций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Обработка и представление результатов измерений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В случае, если участником умышленно изменены результаты единичных измерений с целью получения несправедливого преимущества, и этот факт зарегистрирован не менее, чем у трёх экспертов, экспертная группа рассматривает отдельно каждый факт и в случае дающему участнику несправедливое преимущество, принимает решение о снятии баллов за те критерии, в которых участник получил несправедливое преимущество.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выполнения конкурсного задания.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При нарушении правил ведения протокола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(пользовании шпаргалками, использования в качестве черновиков листов фильтровальной бумаги, бланков методик и др.) экспертная группа рассматривает отдельно каждый факт и в 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дающему участнику несправедливое преимущество, принимает решение о снятии баллов за те критерии, в которых участник получил несправедливое преимущество. Участник должен незамедлительно сдать посторонние записи по запросу экспертной группы.</w:t>
            </w:r>
          </w:p>
          <w:p w:rsidR="006472C6" w:rsidRPr="006472C6" w:rsidRDefault="006472C6" w:rsidP="006472C6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Запрещается заполнения протокола в первые 15 минут знакомства с заданием модуля и по окончании времени выполнения модуля.</w:t>
            </w:r>
          </w:p>
        </w:tc>
      </w:tr>
    </w:tbl>
    <w:p w:rsid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спорных ситуаций, возникающих во время выполнения Конкурсного задания, рекомендуется использовать камеры видеонаблюдения. Решение о необходимости установки камер видеонаблюдения принимает Главный эксперт чемпионата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6" w:name="_Toc78885659"/>
      <w:bookmarkStart w:id="17" w:name="_Toc211851184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End w:id="17"/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Неопределенный - можно привезти оборудование по списку, кроме запрещенного.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Инструментальный ящик Конкурсанта является набором необходимых инструментов, который может быть принесен на площадку самим Конкурсантом в пластиковом контейнере либо в целлофановом (бумажном) пакете.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Состав инструментального ящика участника: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Спецодежда: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Халат защитный (комбинезон, костюм)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Закрытая обувь на низкой устойчивой подошве 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Шапочка для волос</w:t>
      </w:r>
    </w:p>
    <w:p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Средства индивидуальной защиты: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Перчатки резиновые 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 Очки защитные </w:t>
      </w:r>
    </w:p>
    <w:p w:rsidR="00401B85" w:rsidRPr="006472C6" w:rsidRDefault="006472C6" w:rsidP="00401B8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Маска защитная тканевая (респиратор)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Перчатки ХБ тканевые</w:t>
      </w:r>
    </w:p>
    <w:p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Вспомогательные материалы: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Резиновые груши (средняя и маленькая)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Тканевые салфетки для выполнения работ 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Калькулятор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Ручка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Карандаш</w:t>
      </w:r>
    </w:p>
    <w:p w:rsidR="006472C6" w:rsidRPr="006472C6" w:rsidRDefault="006472C6" w:rsidP="006472C6">
      <w:pPr>
        <w:keepNext/>
        <w:tabs>
          <w:tab w:val="left" w:pos="993"/>
        </w:tabs>
        <w:spacing w:after="0" w:line="36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bCs/>
          <w:sz w:val="28"/>
          <w:szCs w:val="28"/>
        </w:rPr>
        <w:tab/>
        <w:t>Маркер</w:t>
      </w:r>
    </w:p>
    <w:p w:rsidR="00E15F2A" w:rsidRPr="00B33456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8" w:name="_Toc211851185"/>
      <w:bookmarkStart w:id="19" w:name="_Toc78885660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  <w:bookmarkEnd w:id="18"/>
    </w:p>
    <w:p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20" w:name="_Toc211851186"/>
      <w:r w:rsidRPr="00A4187F">
        <w:rPr>
          <w:rFonts w:ascii="Times New Roman" w:hAnsi="Times New Roman"/>
        </w:rPr>
        <w:t>запрещенные на площадке</w:t>
      </w:r>
      <w:bookmarkEnd w:id="19"/>
      <w:bookmarkEnd w:id="20"/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Любые материалы и оборудование, имеющиеся при себе у участников, необходимо предъявить экспертам. Эксперты имеют право запретить использование любых предметов, которые будут сочтены не относящимися к химическому анализу или же способными дать участнику несправедливое преимущество.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Участникам запрещено приносить в рабочую зону: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Книги, блокноты, тетради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Портативные компьютеры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Сотовые телефоны, смартфоны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Планшеты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Другие электронные устройства связи</w:t>
      </w:r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211851187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1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6472C6" w:rsidRPr="006472C6" w:rsidRDefault="00B37579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472C6">
        <w:rPr>
          <w:rFonts w:ascii="Times New Roman" w:hAnsi="Times New Roman" w:cs="Times New Roman"/>
          <w:sz w:val="28"/>
          <w:szCs w:val="28"/>
        </w:rPr>
        <w:t xml:space="preserve">5. </w:t>
      </w:r>
      <w:r w:rsidR="006472C6" w:rsidRPr="006472C6">
        <w:rPr>
          <w:rFonts w:ascii="Times New Roman" w:eastAsia="Calibri" w:hAnsi="Times New Roman" w:cs="Times New Roman"/>
          <w:sz w:val="28"/>
          <w:szCs w:val="28"/>
        </w:rPr>
        <w:t>Модуль «А» Нормативный документ</w:t>
      </w:r>
    </w:p>
    <w:p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6. </w:t>
      </w:r>
      <w:r w:rsidRPr="006472C6">
        <w:rPr>
          <w:rFonts w:ascii="Times New Roman" w:eastAsia="Calibri" w:hAnsi="Times New Roman" w:cs="Times New Roman"/>
          <w:sz w:val="28"/>
          <w:szCs w:val="28"/>
        </w:rPr>
        <w:t>Модуль «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6472C6">
        <w:rPr>
          <w:rFonts w:ascii="Times New Roman" w:eastAsia="Calibri" w:hAnsi="Times New Roman" w:cs="Times New Roman"/>
          <w:sz w:val="28"/>
          <w:szCs w:val="28"/>
        </w:rPr>
        <w:t>» Нормативный документ</w:t>
      </w:r>
    </w:p>
    <w:p w:rsidR="002B3DBB" w:rsidRDefault="002B3DBB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7. </w:t>
      </w:r>
      <w:r w:rsidRPr="006472C6">
        <w:rPr>
          <w:rFonts w:ascii="Times New Roman" w:eastAsia="Calibri" w:hAnsi="Times New Roman" w:cs="Times New Roman"/>
          <w:sz w:val="28"/>
          <w:szCs w:val="28"/>
        </w:rPr>
        <w:t>Модуль «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472C6">
        <w:rPr>
          <w:rFonts w:ascii="Times New Roman" w:eastAsia="Calibri" w:hAnsi="Times New Roman" w:cs="Times New Roman"/>
          <w:sz w:val="28"/>
          <w:szCs w:val="28"/>
        </w:rPr>
        <w:t>» Нормативный документ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0FD" w:rsidRDefault="006C20FD" w:rsidP="00970F49">
      <w:pPr>
        <w:spacing w:after="0" w:line="240" w:lineRule="auto"/>
      </w:pPr>
      <w:r>
        <w:separator/>
      </w:r>
    </w:p>
  </w:endnote>
  <w:endnote w:type="continuationSeparator" w:id="1">
    <w:p w:rsidR="006C20FD" w:rsidRDefault="006C20F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CYR 45 Light">
    <w:altName w:val="Times New Roman"/>
    <w:charset w:val="00"/>
    <w:family w:val="auto"/>
    <w:pitch w:val="variable"/>
    <w:sig w:usb0="00000001" w:usb1="1000004A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0113" w:rsidRPr="00AF76EA" w:rsidRDefault="00195943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0113"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5D8A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0FD" w:rsidRDefault="006C20FD" w:rsidP="00970F49">
      <w:pPr>
        <w:spacing w:after="0" w:line="240" w:lineRule="auto"/>
      </w:pPr>
      <w:r>
        <w:separator/>
      </w:r>
    </w:p>
  </w:footnote>
  <w:footnote w:type="continuationSeparator" w:id="1">
    <w:p w:rsidR="006C20FD" w:rsidRDefault="006C20FD" w:rsidP="00970F49">
      <w:pPr>
        <w:spacing w:after="0" w:line="240" w:lineRule="auto"/>
      </w:pPr>
      <w:r>
        <w:continuationSeparator/>
      </w:r>
    </w:p>
  </w:footnote>
  <w:footnote w:id="2">
    <w:p w:rsidR="00980113" w:rsidRDefault="00980113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3">
    <w:p w:rsidR="00980113" w:rsidRDefault="00980113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BDD2050"/>
    <w:multiLevelType w:val="hybridMultilevel"/>
    <w:tmpl w:val="AB00D240"/>
    <w:lvl w:ilvl="0" w:tplc="77FECBC6">
      <w:start w:val="1"/>
      <w:numFmt w:val="bullet"/>
      <w:pStyle w:val="ListaBlu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161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82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24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EC3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FE4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03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24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41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16A728B"/>
    <w:multiLevelType w:val="hybridMultilevel"/>
    <w:tmpl w:val="027CC1A8"/>
    <w:lvl w:ilvl="0" w:tplc="F7FABB02">
      <w:start w:val="1"/>
      <w:numFmt w:val="decimal"/>
      <w:lvlText w:val="%1."/>
      <w:lvlJc w:val="left"/>
      <w:pPr>
        <w:ind w:left="959" w:hanging="360"/>
      </w:pPr>
    </w:lvl>
    <w:lvl w:ilvl="1" w:tplc="F00CA0D6">
      <w:start w:val="1"/>
      <w:numFmt w:val="lowerLetter"/>
      <w:lvlText w:val="%2."/>
      <w:lvlJc w:val="left"/>
      <w:pPr>
        <w:ind w:left="1330" w:hanging="360"/>
      </w:pPr>
    </w:lvl>
    <w:lvl w:ilvl="2" w:tplc="D70A3A3A">
      <w:start w:val="1"/>
      <w:numFmt w:val="lowerRoman"/>
      <w:lvlText w:val="%3."/>
      <w:lvlJc w:val="right"/>
      <w:pPr>
        <w:ind w:left="2050" w:hanging="180"/>
      </w:pPr>
    </w:lvl>
    <w:lvl w:ilvl="3" w:tplc="51442B68">
      <w:start w:val="1"/>
      <w:numFmt w:val="decimal"/>
      <w:lvlText w:val="%4."/>
      <w:lvlJc w:val="left"/>
      <w:pPr>
        <w:ind w:left="2770" w:hanging="360"/>
      </w:pPr>
    </w:lvl>
    <w:lvl w:ilvl="4" w:tplc="A9B619EA">
      <w:start w:val="1"/>
      <w:numFmt w:val="lowerLetter"/>
      <w:lvlText w:val="%5."/>
      <w:lvlJc w:val="left"/>
      <w:pPr>
        <w:ind w:left="3490" w:hanging="360"/>
      </w:pPr>
    </w:lvl>
    <w:lvl w:ilvl="5" w:tplc="6652C45C">
      <w:start w:val="1"/>
      <w:numFmt w:val="lowerRoman"/>
      <w:lvlText w:val="%6."/>
      <w:lvlJc w:val="right"/>
      <w:pPr>
        <w:ind w:left="4210" w:hanging="180"/>
      </w:pPr>
    </w:lvl>
    <w:lvl w:ilvl="6" w:tplc="A77CC214">
      <w:start w:val="1"/>
      <w:numFmt w:val="decimal"/>
      <w:lvlText w:val="%7."/>
      <w:lvlJc w:val="left"/>
      <w:pPr>
        <w:ind w:left="4930" w:hanging="360"/>
      </w:pPr>
    </w:lvl>
    <w:lvl w:ilvl="7" w:tplc="32429812">
      <w:start w:val="1"/>
      <w:numFmt w:val="lowerLetter"/>
      <w:lvlText w:val="%8."/>
      <w:lvlJc w:val="left"/>
      <w:pPr>
        <w:ind w:left="5650" w:hanging="360"/>
      </w:pPr>
    </w:lvl>
    <w:lvl w:ilvl="8" w:tplc="6584FCBE">
      <w:start w:val="1"/>
      <w:numFmt w:val="lowerRoman"/>
      <w:lvlText w:val="%9."/>
      <w:lvlJc w:val="right"/>
      <w:pPr>
        <w:ind w:left="6370" w:hanging="180"/>
      </w:pPr>
    </w:lvl>
  </w:abstractNum>
  <w:abstractNum w:abstractNumId="1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635985"/>
    <w:multiLevelType w:val="multilevel"/>
    <w:tmpl w:val="29564B70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ind w:left="1354" w:hanging="645"/>
      </w:pPr>
    </w:lvl>
    <w:lvl w:ilvl="2">
      <w:start w:val="4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2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1"/>
  </w:num>
  <w:num w:numId="13">
    <w:abstractNumId w:val="24"/>
  </w:num>
  <w:num w:numId="14">
    <w:abstractNumId w:val="12"/>
  </w:num>
  <w:num w:numId="15">
    <w:abstractNumId w:val="22"/>
  </w:num>
  <w:num w:numId="16">
    <w:abstractNumId w:val="25"/>
  </w:num>
  <w:num w:numId="17">
    <w:abstractNumId w:val="23"/>
  </w:num>
  <w:num w:numId="18">
    <w:abstractNumId w:val="20"/>
  </w:num>
  <w:num w:numId="19">
    <w:abstractNumId w:val="15"/>
  </w:num>
  <w:num w:numId="20">
    <w:abstractNumId w:val="17"/>
  </w:num>
  <w:num w:numId="21">
    <w:abstractNumId w:val="13"/>
  </w:num>
  <w:num w:numId="22">
    <w:abstractNumId w:val="4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5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9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A3F04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95943"/>
    <w:rsid w:val="001A67E0"/>
    <w:rsid w:val="001B1F2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2065E"/>
    <w:rsid w:val="0032303D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A265D"/>
    <w:rsid w:val="003B2907"/>
    <w:rsid w:val="003B6085"/>
    <w:rsid w:val="003C1D7A"/>
    <w:rsid w:val="003C5F97"/>
    <w:rsid w:val="003D1E51"/>
    <w:rsid w:val="00401B85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17702"/>
    <w:rsid w:val="0062789A"/>
    <w:rsid w:val="0063396F"/>
    <w:rsid w:val="00640E46"/>
    <w:rsid w:val="0064179C"/>
    <w:rsid w:val="00643A8A"/>
    <w:rsid w:val="0064491A"/>
    <w:rsid w:val="006472C6"/>
    <w:rsid w:val="00653B50"/>
    <w:rsid w:val="00666BDD"/>
    <w:rsid w:val="006776B4"/>
    <w:rsid w:val="006873B8"/>
    <w:rsid w:val="006A4EFB"/>
    <w:rsid w:val="006B0FEA"/>
    <w:rsid w:val="006C20FD"/>
    <w:rsid w:val="006C6D6D"/>
    <w:rsid w:val="006C7A3B"/>
    <w:rsid w:val="006C7CE4"/>
    <w:rsid w:val="006F4464"/>
    <w:rsid w:val="006F7FFE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29F"/>
    <w:rsid w:val="007B0DCC"/>
    <w:rsid w:val="007B2222"/>
    <w:rsid w:val="007B3FD5"/>
    <w:rsid w:val="007C3E4F"/>
    <w:rsid w:val="007D3601"/>
    <w:rsid w:val="007D6C20"/>
    <w:rsid w:val="007E73B4"/>
    <w:rsid w:val="00810127"/>
    <w:rsid w:val="00812516"/>
    <w:rsid w:val="00832EBB"/>
    <w:rsid w:val="00834734"/>
    <w:rsid w:val="00835BF6"/>
    <w:rsid w:val="008761F3"/>
    <w:rsid w:val="00881DD2"/>
    <w:rsid w:val="00882B54"/>
    <w:rsid w:val="008912AE"/>
    <w:rsid w:val="008A05A0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0113"/>
    <w:rsid w:val="00980A75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444E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60C7A"/>
    <w:rsid w:val="00C740CF"/>
    <w:rsid w:val="00C8277D"/>
    <w:rsid w:val="00C95538"/>
    <w:rsid w:val="00C96567"/>
    <w:rsid w:val="00C97E44"/>
    <w:rsid w:val="00CA6CCD"/>
    <w:rsid w:val="00CC3743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10F4"/>
    <w:rsid w:val="00D37CEC"/>
    <w:rsid w:val="00D37DEA"/>
    <w:rsid w:val="00D405D4"/>
    <w:rsid w:val="00D41269"/>
    <w:rsid w:val="00D45007"/>
    <w:rsid w:val="00D45405"/>
    <w:rsid w:val="00D617CC"/>
    <w:rsid w:val="00D75D8A"/>
    <w:rsid w:val="00D82186"/>
    <w:rsid w:val="00D83E4E"/>
    <w:rsid w:val="00D87A1E"/>
    <w:rsid w:val="00D96994"/>
    <w:rsid w:val="00DC20BC"/>
    <w:rsid w:val="00DE39D8"/>
    <w:rsid w:val="00DE5614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72B2"/>
    <w:rsid w:val="00F773D9"/>
    <w:rsid w:val="00F8340A"/>
    <w:rsid w:val="00F83D10"/>
    <w:rsid w:val="00F93643"/>
    <w:rsid w:val="00F96457"/>
    <w:rsid w:val="00FA2BEC"/>
    <w:rsid w:val="00FB022D"/>
    <w:rsid w:val="00FB1F17"/>
    <w:rsid w:val="00FB3492"/>
    <w:rsid w:val="00FB41FB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uiPriority w:val="39"/>
    <w:rsid w:val="006472C6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Blue">
    <w:name w:val="Lista Blue"/>
    <w:basedOn w:val="aff1"/>
    <w:uiPriority w:val="1"/>
    <w:qFormat/>
    <w:rsid w:val="006472C6"/>
    <w:pPr>
      <w:widowControl w:val="0"/>
      <w:numPr>
        <w:numId w:val="26"/>
      </w:numPr>
      <w:spacing w:after="0" w:line="240" w:lineRule="auto"/>
      <w:ind w:left="227" w:hanging="227"/>
      <w:contextualSpacing w:val="0"/>
    </w:pPr>
    <w:rPr>
      <w:rFonts w:eastAsia="Cambria"/>
      <w:color w:val="61B5E4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8B12D-72BC-4702-A1E4-FC1F611B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3681</Words>
  <Characters>20984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data</cp:lastModifiedBy>
  <cp:revision>6</cp:revision>
  <dcterms:created xsi:type="dcterms:W3CDTF">2025-10-20T08:11:00Z</dcterms:created>
  <dcterms:modified xsi:type="dcterms:W3CDTF">2026-01-13T12:46:00Z</dcterms:modified>
</cp:coreProperties>
</file>