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</w:pPr>
      <w:r>
        <w:drawing>
          <wp:inline>
            <wp:extent cx="2190750" cy="13144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190750" cy="13144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ectPr>
          <w:pgSz w:h="16848" w:orient="portrait" w:w="11908"/>
          <w:pgMar w:bottom="1134" w:footer="709" w:gutter="0" w:header="709" w:left="1701" w:right="850" w:top="567"/>
        </w:sectPr>
      </w:pPr>
    </w:p>
    <w:p w14:paraId="03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Российской Федерации</w:t>
      </w:r>
    </w:p>
    <w:p w14:paraId="04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Астраханской области</w:t>
      </w:r>
    </w:p>
    <w:p w14:paraId="05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Советского района г. Астрахани</w:t>
      </w:r>
    </w:p>
    <w:p w14:paraId="06000000">
      <w:pPr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«Измена Родине — тягчайшее преступление»</w:t>
      </w:r>
    </w:p>
    <w:p w14:paraId="07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  <w:highlight w:val="white"/>
        </w:rPr>
      </w:pPr>
      <w:r>
        <w:rPr>
          <w:rFonts w:ascii="Times New Roman" w:hAnsi="Times New Roman"/>
          <w:spacing w:val="-1"/>
          <w:sz w:val="27"/>
          <w:highlight w:val="white"/>
        </w:rPr>
        <w:t xml:space="preserve">Вопросы безопасности государства касаются каждого гражданина, независимо от </w:t>
      </w:r>
      <w:r>
        <w:rPr>
          <w:rFonts w:ascii="Times New Roman" w:hAnsi="Times New Roman"/>
          <w:spacing w:val="-1"/>
          <w:sz w:val="27"/>
          <w:highlight w:val="white"/>
        </w:rPr>
        <w:t>возраста. Сегодня особое внимание уделяется профилактике преступлений среди несовершеннолетних, поскольку злоумышленники нередко пытаются вовлекать подростков в противоправную деятельность через интернет, социальные сети и мессенджеры. Поэтому важно понима</w:t>
      </w:r>
      <w:r>
        <w:rPr>
          <w:rFonts w:ascii="Times New Roman" w:hAnsi="Times New Roman"/>
          <w:spacing w:val="-1"/>
          <w:sz w:val="27"/>
          <w:highlight w:val="white"/>
        </w:rPr>
        <w:t>ть, что такие преступления, как государственная измена, терроризм и диверсия, являются крайне опасными и влекут серьёзную ответственность.</w:t>
      </w:r>
      <w:r>
        <w:rPr>
          <w:rFonts w:ascii="Times New Roman" w:hAnsi="Times New Roman"/>
          <w:spacing w:val="-1"/>
          <w:sz w:val="27"/>
        </w:rPr>
        <w:br/>
      </w:r>
    </w:p>
    <w:p w14:paraId="08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</w:rPr>
      </w:pPr>
      <w:r>
        <w:rPr>
          <w:rFonts w:ascii="Times New Roman" w:hAnsi="Times New Roman"/>
          <w:spacing w:val="-1"/>
          <w:sz w:val="27"/>
          <w:highlight w:val="white"/>
        </w:rPr>
        <w:t>Государственная измена относится к числу наиболее тяжких преступлений против безопасности государства. Она заключаетс</w:t>
      </w:r>
      <w:r>
        <w:rPr>
          <w:rFonts w:ascii="Times New Roman" w:hAnsi="Times New Roman"/>
          <w:spacing w:val="-1"/>
          <w:sz w:val="27"/>
          <w:highlight w:val="white"/>
        </w:rPr>
        <w:t>я в совершении действий, направленных на нанесение ущерба интересам Российской Федерации.</w:t>
      </w:r>
      <w:r>
        <w:rPr>
          <w:rFonts w:ascii="Times New Roman" w:hAnsi="Times New Roman"/>
          <w:spacing w:val="-1"/>
          <w:sz w:val="27"/>
        </w:rPr>
        <w:br/>
      </w:r>
      <w:r>
        <w:rPr>
          <w:rFonts w:ascii="Times New Roman" w:hAnsi="Times New Roman"/>
          <w:spacing w:val="-1"/>
          <w:sz w:val="27"/>
          <w:highlight w:val="white"/>
        </w:rPr>
        <w:t>Особую опасность представляет терроризм. Террористический акт — это совершение взрыва, поджога или иных действий, создающих угрозу жизни и здоровью людей, а также нап</w:t>
      </w:r>
      <w:r>
        <w:rPr>
          <w:rFonts w:ascii="Times New Roman" w:hAnsi="Times New Roman"/>
          <w:spacing w:val="-1"/>
          <w:sz w:val="27"/>
          <w:highlight w:val="white"/>
        </w:rPr>
        <w:t>равленных на устрашение населения. В последние годы злоумышленники всё чаще пытаются вовлекать несовершеннолетних в подобную деятельность, обещая денежное вознаграждение за выполнение простых на первый взгляд заданий.</w:t>
      </w:r>
    </w:p>
    <w:p w14:paraId="09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</w:rPr>
      </w:pPr>
    </w:p>
    <w:p w14:paraId="0A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  <w:highlight w:val="white"/>
        </w:rPr>
      </w:pPr>
      <w:r>
        <w:rPr>
          <w:rFonts w:ascii="Times New Roman" w:hAnsi="Times New Roman"/>
          <w:spacing w:val="-1"/>
          <w:sz w:val="27"/>
          <w:highlight w:val="white"/>
        </w:rPr>
        <w:t>К таким заданиям могут относиться:</w:t>
      </w:r>
      <w:r>
        <w:rPr>
          <w:rFonts w:ascii="Times New Roman" w:hAnsi="Times New Roman"/>
          <w:spacing w:val="-1"/>
          <w:sz w:val="27"/>
        </w:rPr>
        <w:br/>
      </w:r>
      <w:r>
        <w:rPr>
          <w:rFonts w:ascii="Times New Roman" w:hAnsi="Times New Roman"/>
          <w:spacing w:val="-1"/>
          <w:sz w:val="27"/>
          <w:highlight w:val="white"/>
        </w:rPr>
        <w:t>* п</w:t>
      </w:r>
      <w:r>
        <w:rPr>
          <w:rFonts w:ascii="Times New Roman" w:hAnsi="Times New Roman"/>
          <w:spacing w:val="-1"/>
          <w:sz w:val="27"/>
          <w:highlight w:val="white"/>
        </w:rPr>
        <w:t>оджог зданий, автомобилей или иных объектов;</w:t>
      </w:r>
      <w:r>
        <w:rPr>
          <w:rFonts w:ascii="Times New Roman" w:hAnsi="Times New Roman"/>
          <w:spacing w:val="-1"/>
          <w:sz w:val="27"/>
        </w:rPr>
        <w:br/>
      </w:r>
      <w:r>
        <w:rPr>
          <w:rFonts w:ascii="Times New Roman" w:hAnsi="Times New Roman"/>
          <w:spacing w:val="-1"/>
          <w:sz w:val="27"/>
          <w:highlight w:val="white"/>
        </w:rPr>
        <w:t>*</w:t>
      </w:r>
      <w:r>
        <w:rPr>
          <w:rFonts w:ascii="Times New Roman" w:hAnsi="Times New Roman"/>
          <w:spacing w:val="-1"/>
          <w:sz w:val="27"/>
          <w:highlight w:val="white"/>
        </w:rPr>
        <w:t xml:space="preserve"> </w:t>
      </w:r>
      <w:r>
        <w:rPr>
          <w:rFonts w:ascii="Times New Roman" w:hAnsi="Times New Roman"/>
          <w:spacing w:val="-1"/>
          <w:sz w:val="27"/>
          <w:highlight w:val="white"/>
        </w:rPr>
        <w:t>повреждение объектов транспортной инфраструктуры;</w:t>
      </w:r>
      <w:r>
        <w:rPr>
          <w:rFonts w:ascii="Times New Roman" w:hAnsi="Times New Roman"/>
          <w:spacing w:val="-1"/>
          <w:sz w:val="27"/>
        </w:rPr>
        <w:br/>
      </w:r>
      <w:r>
        <w:rPr>
          <w:rFonts w:ascii="Times New Roman" w:hAnsi="Times New Roman"/>
          <w:spacing w:val="-1"/>
          <w:sz w:val="27"/>
          <w:highlight w:val="white"/>
        </w:rPr>
        <w:t>* участие в распространении материалов, содержащих призывы к насилию;</w:t>
      </w:r>
      <w:r>
        <w:rPr>
          <w:rFonts w:ascii="Times New Roman" w:hAnsi="Times New Roman"/>
          <w:spacing w:val="-1"/>
          <w:sz w:val="27"/>
        </w:rPr>
        <w:br/>
      </w:r>
      <w:r>
        <w:rPr>
          <w:rFonts w:ascii="Times New Roman" w:hAnsi="Times New Roman"/>
          <w:spacing w:val="-1"/>
          <w:sz w:val="27"/>
          <w:highlight w:val="white"/>
        </w:rPr>
        <w:t>* передача информации о важных объектах или их охране неизвестным лицам.</w:t>
      </w:r>
      <w:r>
        <w:rPr>
          <w:rFonts w:ascii="Times New Roman" w:hAnsi="Times New Roman"/>
          <w:spacing w:val="-1"/>
          <w:sz w:val="27"/>
        </w:rPr>
        <w:br/>
      </w:r>
      <w:r>
        <w:rPr>
          <w:rFonts w:ascii="Times New Roman" w:hAnsi="Times New Roman"/>
          <w:spacing w:val="-1"/>
          <w:sz w:val="27"/>
          <w:highlight w:val="white"/>
        </w:rPr>
        <w:t>Подростки должны</w:t>
      </w:r>
      <w:r>
        <w:rPr>
          <w:rFonts w:ascii="Times New Roman" w:hAnsi="Times New Roman"/>
          <w:spacing w:val="-1"/>
          <w:sz w:val="27"/>
          <w:highlight w:val="white"/>
        </w:rPr>
        <w:t xml:space="preserve"> понимать, что даже если кто-то предлагает деньги за подобные действия и уверяет, что наказания не будет, ответственность за совершённое преступление всё равно наступает.</w:t>
      </w:r>
      <w:r>
        <w:rPr>
          <w:rFonts w:ascii="Times New Roman" w:hAnsi="Times New Roman"/>
          <w:spacing w:val="-1"/>
          <w:sz w:val="27"/>
        </w:rPr>
        <w:br/>
      </w:r>
    </w:p>
    <w:p w14:paraId="0B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  <w:highlight w:val="white"/>
        </w:rPr>
      </w:pPr>
      <w:r>
        <w:rPr>
          <w:rFonts w:ascii="Times New Roman" w:hAnsi="Times New Roman"/>
          <w:spacing w:val="-1"/>
          <w:sz w:val="27"/>
          <w:highlight w:val="white"/>
        </w:rPr>
        <w:t>Не менее опасным преступлением является диверсия. Она заключается в поджогах, подрыва</w:t>
      </w:r>
      <w:r>
        <w:rPr>
          <w:rFonts w:ascii="Times New Roman" w:hAnsi="Times New Roman"/>
          <w:spacing w:val="-1"/>
          <w:sz w:val="27"/>
          <w:highlight w:val="white"/>
        </w:rPr>
        <w:t xml:space="preserve">х или иных действиях, направленных на повреждение </w:t>
      </w:r>
      <w:r>
        <w:rPr>
          <w:rFonts w:ascii="Times New Roman" w:hAnsi="Times New Roman"/>
          <w:spacing w:val="-1"/>
          <w:sz w:val="27"/>
          <w:highlight w:val="white"/>
        </w:rPr>
        <w:t>объектов транспорта, связи, энергетики и других важных объектов. Например, поджог релейного шкафа на железной дороге, повреждение оборудования на объектах связи или попытка вывести из строя элементы инфраст</w:t>
      </w:r>
      <w:r>
        <w:rPr>
          <w:rFonts w:ascii="Times New Roman" w:hAnsi="Times New Roman"/>
          <w:spacing w:val="-1"/>
          <w:sz w:val="27"/>
          <w:highlight w:val="white"/>
        </w:rPr>
        <w:t xml:space="preserve">руктуры могут привести к серьёзным последствиям для большого количества людей. Такие действия создают угрозу безопасности граждан и нарушают работу жизненно </w:t>
      </w:r>
      <w:r>
        <w:rPr>
          <w:rFonts w:ascii="Times New Roman" w:hAnsi="Times New Roman"/>
          <w:spacing w:val="-1"/>
          <w:sz w:val="27"/>
          <w:highlight w:val="white"/>
        </w:rPr>
        <w:t>важных систем.</w:t>
      </w:r>
      <w:r>
        <w:rPr>
          <w:rFonts w:ascii="Times New Roman" w:hAnsi="Times New Roman"/>
          <w:spacing w:val="-1"/>
          <w:sz w:val="27"/>
        </w:rPr>
        <w:br/>
      </w:r>
    </w:p>
    <w:p w14:paraId="0C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</w:rPr>
      </w:pPr>
      <w:r>
        <w:rPr>
          <w:rFonts w:ascii="Times New Roman" w:hAnsi="Times New Roman"/>
          <w:spacing w:val="-1"/>
          <w:sz w:val="27"/>
          <w:highlight w:val="white"/>
        </w:rPr>
        <w:t xml:space="preserve">За совершение террористических преступлений и диверсий законодательством Российской </w:t>
      </w:r>
      <w:r>
        <w:rPr>
          <w:rFonts w:ascii="Times New Roman" w:hAnsi="Times New Roman"/>
          <w:spacing w:val="-1"/>
          <w:sz w:val="27"/>
          <w:highlight w:val="white"/>
        </w:rPr>
        <w:t>Федерации предусмотрены строгие меры наказания, включая длительные сроки лишения свободы. Судимость может серьёзно осложнить дальнейшую жизнь человека, ограничить возможности получения образования, трудоустройства и построения карьеры. Родители также испыт</w:t>
      </w:r>
      <w:r>
        <w:rPr>
          <w:rFonts w:ascii="Times New Roman" w:hAnsi="Times New Roman"/>
          <w:spacing w:val="-1"/>
          <w:sz w:val="27"/>
          <w:highlight w:val="white"/>
        </w:rPr>
        <w:t>ывают серьёзные моральные переживания и сталкиваются с общественным осуждением.</w:t>
      </w:r>
    </w:p>
    <w:p w14:paraId="0D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  <w:highlight w:val="white"/>
        </w:rPr>
      </w:pPr>
    </w:p>
    <w:p w14:paraId="0E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  <w:highlight w:val="white"/>
        </w:rPr>
      </w:pPr>
      <w:r>
        <w:rPr>
          <w:rFonts w:ascii="Times New Roman" w:hAnsi="Times New Roman"/>
          <w:spacing w:val="-1"/>
          <w:sz w:val="27"/>
          <w:highlight w:val="white"/>
        </w:rPr>
        <w:t>Следует помнить, что последствия подобных преступлений затрагивают не только самого нарушителя, но и его семью. Судимость может серьёзно осложнить дальнейшую жизнь человека, ограничить возможности получения образования, трудоустройства и построения карьеры. Родители также испытывают серьёзные моральные переживания и сталкиваются с общественным осуждением.</w:t>
      </w:r>
      <w:r>
        <w:rPr>
          <w:rFonts w:ascii="Times New Roman" w:hAnsi="Times New Roman"/>
          <w:spacing w:val="-1"/>
          <w:sz w:val="27"/>
        </w:rPr>
        <w:br/>
      </w:r>
    </w:p>
    <w:p w14:paraId="0F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</w:rPr>
      </w:pPr>
      <w:r>
        <w:rPr>
          <w:rFonts w:ascii="Times New Roman" w:hAnsi="Times New Roman"/>
          <w:spacing w:val="-1"/>
          <w:sz w:val="27"/>
          <w:highlight w:val="white"/>
        </w:rPr>
        <w:t>Родителям рекомендуется внимательно относиться к кругу общения детей, интересоваться их деятельностью в Интернете и объяснять опасность общения с незнакомыми людьми, предлагающ</w:t>
      </w:r>
      <w:r>
        <w:rPr>
          <w:rFonts w:ascii="Times New Roman" w:hAnsi="Times New Roman"/>
          <w:spacing w:val="-1"/>
          <w:sz w:val="27"/>
          <w:highlight w:val="white"/>
        </w:rPr>
        <w:t>ими деньги или выполнение подозрительных заданий. органы.</w:t>
      </w:r>
    </w:p>
    <w:p w14:paraId="10000000">
      <w:pPr>
        <w:spacing w:after="0" w:line="276" w:lineRule="auto"/>
        <w:ind/>
        <w:jc w:val="both"/>
        <w:rPr>
          <w:rFonts w:ascii="Times New Roman" w:hAnsi="Times New Roman"/>
          <w:spacing w:val="-1"/>
          <w:sz w:val="27"/>
        </w:rPr>
      </w:pPr>
    </w:p>
    <w:p w14:paraId="11000000">
      <w:pPr>
        <w:spacing w:after="0" w:line="276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pacing w:val="-1"/>
          <w:sz w:val="27"/>
        </w:rPr>
        <w:t>Следует уделять внимание случаям, когда несовершеннолетнему поступают звонки, сообщения в социальных сетях или мессенджерах с предложениями выполнить какие-либо подозрительные задания за денеж</w:t>
      </w:r>
      <w:r>
        <w:rPr>
          <w:rFonts w:ascii="Times New Roman" w:hAnsi="Times New Roman"/>
          <w:spacing w:val="-1"/>
          <w:sz w:val="27"/>
        </w:rPr>
        <w:t>ное вознаграждение (совершить поджог, повредить объекты инфраструктуры, передать информацию о режимных объектах или выполнить иные противоправные действия). В таких ситуациях ребёнок должен немедленно прекратить общение с неизвест</w:t>
      </w:r>
      <w:r>
        <w:rPr>
          <w:rFonts w:ascii="Times New Roman" w:hAnsi="Times New Roman"/>
          <w:spacing w:val="-1"/>
          <w:sz w:val="27"/>
        </w:rPr>
        <w:t xml:space="preserve">ным лицом и незамедлительно сообщить о произошедшем родителям, законным представителям, педагогам или сотрудникам правоохранительных органов. </w:t>
      </w:r>
    </w:p>
    <w:p w14:paraId="12000000">
      <w:pPr>
        <w:spacing w:after="0" w:line="276" w:lineRule="auto"/>
        <w:ind/>
        <w:jc w:val="both"/>
        <w:rPr>
          <w:rFonts w:ascii="Times New Roman" w:hAnsi="Times New Roman"/>
          <w:sz w:val="27"/>
        </w:rPr>
      </w:pPr>
    </w:p>
    <w:p w14:paraId="13000000">
      <w:pPr>
        <w:spacing w:after="0" w:line="276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pacing w:val="-1"/>
          <w:sz w:val="27"/>
        </w:rPr>
        <w:t>Только своевременное обращение за помощью и ответственное поведение помогут предотвратить вовлечение несовершеннол</w:t>
      </w:r>
      <w:r>
        <w:rPr>
          <w:rFonts w:ascii="Times New Roman" w:hAnsi="Times New Roman"/>
          <w:spacing w:val="-1"/>
          <w:sz w:val="27"/>
        </w:rPr>
        <w:t>етних в преступную деятельность и сохранить безопасность общества.</w:t>
      </w:r>
    </w:p>
    <w:sectPr>
      <w:type w:val="continuous"/>
      <w:pgSz w:h="16848" w:orient="portrait" w:w="11908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alloon Text"/>
    <w:basedOn w:val="Style_1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1_ch"/>
    <w:link w:val="Style_6"/>
    <w:rPr>
      <w:rFonts w:ascii="Tahoma" w:hAnsi="Tahoma"/>
      <w:sz w:val="16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2026-06-03T06:05:46Z</dcterms:modified>
</cp:coreProperties>
</file>