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A75975" w:rsidRPr="00A75975" w14:paraId="31FD8319" w14:textId="77777777" w:rsidTr="007679A3">
        <w:tc>
          <w:tcPr>
            <w:tcW w:w="5211" w:type="dxa"/>
          </w:tcPr>
          <w:p w14:paraId="30B2C44C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Принято </w:t>
            </w:r>
          </w:p>
          <w:p w14:paraId="55217425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на </w:t>
            </w:r>
            <w:r w:rsidRPr="00A7597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  <w:t>Педагогическом совете</w:t>
            </w:r>
          </w:p>
          <w:p w14:paraId="7F7195CA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  <w:t>Протокол № 17 от «29» августа 2025 г.</w:t>
            </w:r>
          </w:p>
          <w:p w14:paraId="438C6B3B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  <w:t xml:space="preserve">                                       </w:t>
            </w:r>
          </w:p>
          <w:p w14:paraId="7CFA9238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14:paraId="33C85BBD" w14:textId="77777777" w:rsidR="00A75975" w:rsidRPr="00A75975" w:rsidRDefault="00A75975" w:rsidP="00A75975">
            <w:pPr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«Утверждаю»</w:t>
            </w:r>
          </w:p>
          <w:p w14:paraId="287442FE" w14:textId="77777777" w:rsidR="00A75975" w:rsidRPr="00A75975" w:rsidRDefault="00A75975" w:rsidP="00A75975">
            <w:pPr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>Директор:  Рыбина Ирина Алексеевна</w:t>
            </w:r>
          </w:p>
          <w:p w14:paraId="0F3AE23E" w14:textId="77777777" w:rsidR="00A75975" w:rsidRPr="00A75975" w:rsidRDefault="00A75975" w:rsidP="00A75975">
            <w:pPr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_________________________________ </w:t>
            </w:r>
          </w:p>
          <w:p w14:paraId="61062170" w14:textId="77777777" w:rsidR="00A75975" w:rsidRPr="00A75975" w:rsidRDefault="00A75975" w:rsidP="00A75975">
            <w:pPr>
              <w:spacing w:before="0" w:beforeAutospacing="0" w:after="0" w:afterAutospacing="0" w:line="276" w:lineRule="auto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A75975"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F51B38" wp14:editId="2521F3B6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189230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597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  <w:t>Приказ  № 316-ОД от «29 августа  2025 г.</w:t>
            </w:r>
          </w:p>
          <w:p w14:paraId="433DB960" w14:textId="77777777" w:rsidR="00A75975" w:rsidRPr="00A75975" w:rsidRDefault="00A75975" w:rsidP="00A7597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ru-RU"/>
              </w:rPr>
            </w:pPr>
          </w:p>
        </w:tc>
      </w:tr>
    </w:tbl>
    <w:p w14:paraId="659B2D26" w14:textId="77777777" w:rsidR="00A75975" w:rsidRPr="00A75975" w:rsidRDefault="00A75975" w:rsidP="00A75975">
      <w:pPr>
        <w:widowControl w:val="0"/>
        <w:shd w:val="clear" w:color="auto" w:fill="FFFFFF"/>
        <w:tabs>
          <w:tab w:val="left" w:pos="6270"/>
        </w:tabs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ru-RU"/>
        </w:rPr>
      </w:pPr>
    </w:p>
    <w:p w14:paraId="0D1FE732" w14:textId="77777777" w:rsidR="00A75975" w:rsidRPr="00A75975" w:rsidRDefault="00A75975" w:rsidP="00A75975">
      <w:pPr>
        <w:widowControl w:val="0"/>
        <w:shd w:val="clear" w:color="auto" w:fill="FFFFFF"/>
        <w:tabs>
          <w:tab w:val="left" w:pos="6270"/>
        </w:tabs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ru-RU"/>
        </w:rPr>
      </w:pPr>
    </w:p>
    <w:p w14:paraId="5DC6DA55" w14:textId="77777777" w:rsidR="00A75975" w:rsidRDefault="00A75975" w:rsidP="00A759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B9418B" w14:textId="77777777" w:rsidR="007D29B6" w:rsidRPr="00A75975" w:rsidRDefault="00A75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A75975">
        <w:rPr>
          <w:lang w:val="ru-RU"/>
        </w:rPr>
        <w:br/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14:paraId="5C1430E2" w14:textId="77777777" w:rsidR="007D29B6" w:rsidRPr="00A75975" w:rsidRDefault="00A75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0DA44192" w14:textId="2A356440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29.12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.2012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240,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учреждения Петрозаводского городского округа « Средняя общеобразовательная школа № 35»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1742DF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154CB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подтверждени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2C70B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заявлению</w:t>
      </w:r>
    </w:p>
    <w:p w14:paraId="38ED798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95BB72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E8E838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C598207" w14:textId="77777777" w:rsidR="007D29B6" w:rsidRPr="00A75975" w:rsidRDefault="00A75975" w:rsidP="00A759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аналогичную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DE1D28" w14:textId="77777777" w:rsidR="007D29B6" w:rsidRPr="00A75975" w:rsidRDefault="00A75975" w:rsidP="00A759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угого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41186D6" w14:textId="77777777" w:rsidR="007D29B6" w:rsidRPr="00A75975" w:rsidRDefault="00A75975" w:rsidP="00A759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6E8A98" w14:textId="77777777" w:rsidR="007D29B6" w:rsidRPr="00A75975" w:rsidRDefault="00A75975" w:rsidP="00A759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C7D4AA" w14:textId="77777777" w:rsidR="007D29B6" w:rsidRPr="00A75975" w:rsidRDefault="00A75975" w:rsidP="00A759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53B427" w14:textId="77777777" w:rsid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88BAB3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D6F3653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E83EB10" w14:textId="77777777" w:rsidR="007D29B6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5DDA7A4" w14:textId="77777777" w:rsidR="007D29B6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752ED3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920BE0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DE6532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DCFA51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87BD663" w14:textId="77777777" w:rsidR="007D29B6" w:rsidRPr="00A75975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DC4916" w14:textId="77777777" w:rsidR="007D29B6" w:rsidRDefault="00A75975" w:rsidP="00A759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перевода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AECC8E0" w14:textId="37603F4D" w:rsidR="007D29B6" w:rsidRPr="00A75975" w:rsidRDefault="00A75975" w:rsidP="00A7597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E32B3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FCCD44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5B9B1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тановленным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2.3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58D490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DF55A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E6C4F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31FCA31" w14:textId="026935F5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изучен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2.18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9CA10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DB554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6256C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A925E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1F0B1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FA6AC5" w14:textId="1947A856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02DEDE7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0A097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1B2DC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2CB8C1B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2.15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ECD583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C7CD5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1E73A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46B138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2.6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0980F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A66D5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BD46A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24C1004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lang w:val="ru-RU"/>
        </w:rPr>
        <w:br/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0F4EC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инициативе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14:paraId="154D322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D890B1B" w14:textId="77777777" w:rsidR="007D29B6" w:rsidRPr="00A75975" w:rsidRDefault="00A75975" w:rsidP="00A759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малокомплектных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7BF2F6" w14:textId="77777777" w:rsidR="007D29B6" w:rsidRPr="00A75975" w:rsidRDefault="00A75975" w:rsidP="00A7597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разделение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превышении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санитар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248D47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4CA254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самостоят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ельно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FC399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753973B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1875D1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изменени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6C9A09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14:paraId="6A5E0D34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2D7E1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исле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4B68B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условного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0FDE477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ченика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327FD8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5F80C6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DBF6B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отрицательных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94623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14:paraId="31896187" w14:textId="77777777" w:rsidR="007D29B6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E6F47B0" w14:textId="77777777" w:rsidR="007D29B6" w:rsidRPr="00A75975" w:rsidRDefault="00A75975" w:rsidP="00A7597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E1E2E5D" w14:textId="77777777" w:rsidR="007D29B6" w:rsidRDefault="00A75975" w:rsidP="00A7597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E57057" w14:textId="77777777" w:rsidR="007D29B6" w:rsidRDefault="00A75975" w:rsidP="00A7597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13892F" w14:textId="77777777" w:rsidR="007D29B6" w:rsidRPr="00A75975" w:rsidRDefault="00A75975" w:rsidP="00A7597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827FC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6DD05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DF410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CF4B37" w14:textId="58EBB70B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>
        <w:rPr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азования</w:t>
      </w:r>
    </w:p>
    <w:p w14:paraId="39855F5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усмотренных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14:paraId="4CA83938" w14:textId="77777777" w:rsidR="007D29B6" w:rsidRPr="00A75975" w:rsidRDefault="00A75975" w:rsidP="00A759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CA7E94A" w14:textId="77777777" w:rsidR="007D29B6" w:rsidRPr="00A75975" w:rsidRDefault="00A75975" w:rsidP="00A7597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ADB4D2" w14:textId="77777777" w:rsidR="007D29B6" w:rsidRPr="00A75975" w:rsidRDefault="00A75975" w:rsidP="00A7597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FE965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DB187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ячейке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алфавитной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книгой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4793A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14:paraId="37F7F86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F02105D" w14:textId="77777777" w:rsidR="007D29B6" w:rsidRPr="00A75975" w:rsidRDefault="00A75975" w:rsidP="00A7597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D3AA46A" w14:textId="77777777" w:rsidR="007D29B6" w:rsidRPr="00A75975" w:rsidRDefault="00A75975" w:rsidP="00A7597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C24E2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3DDBC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1A2458E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необходим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самообразование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743F7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9B367A9" w14:textId="77777777" w:rsidR="007D29B6" w:rsidRPr="00A75975" w:rsidRDefault="00A75975" w:rsidP="00A759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отчест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9C977C" w14:textId="77777777" w:rsidR="007D29B6" w:rsidRDefault="00A75975" w:rsidP="00A759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6C48C3" w14:textId="77777777" w:rsidR="007D29B6" w:rsidRDefault="00A75975" w:rsidP="00A7597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1303D13" w14:textId="77777777" w:rsidR="007D29B6" w:rsidRDefault="00A75975" w:rsidP="00A7597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2A3F2B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A451F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тветствует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7.3, 7.3.1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EA577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2B2490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266D1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lang w:val="ru-RU"/>
        </w:rPr>
        <w:br/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34282E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7.3.6.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F64D37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73.7.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FD3563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7.3.8.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F5DAED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7.3.9.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иостановить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10DC8646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7.3.10.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17EC8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7.3.11.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BDA646A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приостан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4B212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7.3.12.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42DB1C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7.3.5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DC9F2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7.3.13.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анием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D1ACA5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D93937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7.3.15.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C74D5CF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ознакомлени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3B5672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700AC9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7.5.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95AA3C7" w14:textId="77777777" w:rsidR="007D29B6" w:rsidRPr="00A75975" w:rsidRDefault="00A75975" w:rsidP="00A759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дусмотренных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759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D29B6" w:rsidRPr="00A75975" w:rsidSect="00A7597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12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54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25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24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B2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65C4"/>
    <w:rsid w:val="002D33B1"/>
    <w:rsid w:val="002D3591"/>
    <w:rsid w:val="003514A0"/>
    <w:rsid w:val="004F7E17"/>
    <w:rsid w:val="005A05CE"/>
    <w:rsid w:val="00653AF6"/>
    <w:rsid w:val="007D29B6"/>
    <w:rsid w:val="0098342C"/>
    <w:rsid w:val="00A7597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5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Admin</cp:lastModifiedBy>
  <cp:revision>2</cp:revision>
  <dcterms:created xsi:type="dcterms:W3CDTF">2025-10-08T07:27:00Z</dcterms:created>
  <dcterms:modified xsi:type="dcterms:W3CDTF">2025-10-08T07:27:00Z</dcterms:modified>
</cp:coreProperties>
</file>