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70"/>
        <w:gridCol w:w="1402"/>
        <w:gridCol w:w="4199"/>
      </w:tblGrid>
      <w:tr w14:paraId="5EAAB4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67" w:type="dxa"/>
          </w:tcPr>
          <w:p w14:paraId="37D0D6F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  <w:t>БАШ</w:t>
            </w:r>
            <w:r>
              <w:rPr>
                <w:rFonts w:ascii="Times New Roman" w:hAnsi="Times New Roman" w:cs="Times New Roman"/>
                <w:color w:val="000000" w:themeColor="text1"/>
                <w:sz w:val="14"/>
                <w:szCs w:val="14"/>
                <w:lang w:val="ba-RU"/>
                <w14:textFill>
                  <w14:solidFill>
                    <w14:schemeClr w14:val="tx1"/>
                  </w14:solidFill>
                </w14:textFill>
              </w:rPr>
              <w:t>Ҡ</w:t>
            </w:r>
            <w:r>
              <w:rPr>
                <w:rFonts w:ascii="Times New Roman" w:hAnsi="Times New Roman" w:cs="Times New Roman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  <w:t>ОРТОСТАН РЕСПУБЛИКАҺЫ</w:t>
            </w:r>
          </w:p>
          <w:p w14:paraId="49D39D4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  <w:t xml:space="preserve">САЛАУАТ </w:t>
            </w:r>
            <w:r>
              <w:rPr>
                <w:rFonts w:ascii="Times New Roman" w:hAnsi="Times New Roman" w:cs="Times New Roman"/>
                <w:color w:val="000000" w:themeColor="text1"/>
                <w:sz w:val="14"/>
                <w:szCs w:val="14"/>
                <w:lang w:val="ba-RU"/>
                <w14:textFill>
                  <w14:solidFill>
                    <w14:schemeClr w14:val="tx1"/>
                  </w14:solidFill>
                </w14:textFill>
              </w:rPr>
              <w:t>Ҡ</w:t>
            </w:r>
            <w:r>
              <w:rPr>
                <w:rFonts w:ascii="Times New Roman" w:hAnsi="Times New Roman" w:cs="Times New Roman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  <w:t xml:space="preserve">АЛАҺЫ </w:t>
            </w:r>
            <w:r>
              <w:rPr>
                <w:rFonts w:ascii="Times New Roman" w:hAnsi="Times New Roman" w:cs="Times New Roman"/>
                <w:color w:val="000000" w:themeColor="text1"/>
                <w:sz w:val="14"/>
                <w:szCs w:val="14"/>
                <w:lang w:val="ba-RU"/>
                <w14:textFill>
                  <w14:solidFill>
                    <w14:schemeClr w14:val="tx1"/>
                  </w14:solidFill>
                </w14:textFill>
              </w:rPr>
              <w:t>Ҡ</w:t>
            </w:r>
            <w:r>
              <w:rPr>
                <w:rFonts w:ascii="Times New Roman" w:hAnsi="Times New Roman" w:cs="Times New Roman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  <w:t>АЛА ОКРУГЫНЫҢ</w:t>
            </w:r>
          </w:p>
          <w:p w14:paraId="2A0F376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«БАЛАЛАР (Y</w:t>
            </w:r>
            <w:r>
              <w:rPr>
                <w:rFonts w:ascii="Times New Roman" w:hAnsi="Times New Roman" w:eastAsia="MS Mincho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Ҫ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МЕР</w:t>
            </w:r>
            <w:r>
              <w:rPr>
                <w:rFonts w:ascii="Times New Roman" w:hAnsi="Times New Roman" w:eastAsia="MS Mincho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Ҙ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ӘР) ТЕХНИК</w:t>
            </w:r>
          </w:p>
          <w:p w14:paraId="7DE038C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ИЖАДЫ Y</w:t>
            </w:r>
            <w:r>
              <w:rPr>
                <w:rFonts w:ascii="Times New Roman" w:hAnsi="Times New Roman" w:eastAsia="MS Mincho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Ҙ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ӘГЕ»</w:t>
            </w:r>
          </w:p>
          <w:p w14:paraId="1244800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  <w:t>Ө</w:t>
            </w:r>
            <w:r>
              <w:rPr>
                <w:rFonts w:ascii="Times New Roman" w:hAnsi="Times New Roman" w:eastAsia="MS Mincho" w:cs="Times New Roman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  <w:t>Ҫ</w:t>
            </w:r>
            <w:r>
              <w:rPr>
                <w:rFonts w:ascii="Times New Roman" w:hAnsi="Times New Roman" w:cs="Times New Roman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  <w:t>ТӘМӘ БЕЛЕМ БИРЕҮ</w:t>
            </w:r>
            <w:r>
              <w:rPr>
                <w:rFonts w:ascii="Times New Roman" w:hAnsi="Times New Roman" w:cs="Times New Roman"/>
                <w:color w:val="000000" w:themeColor="text1"/>
                <w:sz w:val="14"/>
                <w:szCs w:val="14"/>
                <w:lang w:val="ba-RU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  <w:t>МУНИЦИПАЛЬ</w:t>
            </w:r>
          </w:p>
          <w:p w14:paraId="294010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4"/>
                <w:szCs w:val="14"/>
                <w14:textFill>
                  <w14:solidFill>
                    <w14:schemeClr w14:val="tx1"/>
                  </w14:solidFill>
                </w14:textFill>
              </w:rPr>
              <w:t>БЮДЖЕТ УЧРЕЖДЕНИЕҺЫ</w:t>
            </w:r>
          </w:p>
          <w:p w14:paraId="06B08E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ba-RU"/>
              </w:rPr>
            </w:pPr>
            <w:r>
              <w:rPr>
                <w:rFonts w:ascii="Times New Roman" w:hAnsi="Times New Roman"/>
                <w:sz w:val="14"/>
                <w:szCs w:val="14"/>
                <w:lang w:val="ba-RU"/>
              </w:rPr>
              <w:t>(</w:t>
            </w:r>
            <w:r>
              <w:rPr>
                <w:rFonts w:ascii="Times New Roman" w:hAnsi="Times New Roman" w:cs="Times New Roman"/>
                <w:sz w:val="14"/>
                <w:szCs w:val="14"/>
                <w:lang w:val="ba-RU"/>
              </w:rPr>
              <w:t>Салауат ҡ</w:t>
            </w:r>
            <w:r>
              <w:rPr>
                <w:rFonts w:ascii="Times New Roman" w:hAnsi="Times New Roman"/>
                <w:sz w:val="14"/>
                <w:szCs w:val="14"/>
                <w:lang w:val="ba-RU"/>
              </w:rPr>
              <w:t>.</w:t>
            </w:r>
            <w:r>
              <w:rPr>
                <w:rFonts w:ascii="Times New Roman" w:hAnsi="Times New Roman" w:cs="Times New Roman"/>
                <w:sz w:val="14"/>
                <w:szCs w:val="14"/>
                <w:lang w:val="ba-RU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«</w:t>
            </w:r>
            <w:r>
              <w:rPr>
                <w:rFonts w:ascii="Times New Roman" w:hAnsi="Times New Roman" w:cs="Times New Roman"/>
                <w:sz w:val="14"/>
                <w:szCs w:val="14"/>
                <w:lang w:val="ba-RU"/>
              </w:rPr>
              <w:t>Б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(</w:t>
            </w:r>
            <w:r>
              <w:rPr>
                <w:rFonts w:ascii="Times New Roman" w:hAnsi="Times New Roman" w:cs="Times New Roman"/>
                <w:sz w:val="14"/>
                <w:szCs w:val="14"/>
                <w:lang w:val="ba-RU"/>
              </w:rPr>
              <w:t>Ү)ТИҮ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»</w:t>
            </w:r>
            <w:r>
              <w:rPr>
                <w:rFonts w:ascii="Times New Roman" w:hAnsi="Times New Roman" w:cs="Times New Roman"/>
                <w:sz w:val="14"/>
                <w:szCs w:val="14"/>
                <w:lang w:val="ba-RU"/>
              </w:rPr>
              <w:t xml:space="preserve"> ӨББ МБУ</w:t>
            </w:r>
            <w:r>
              <w:rPr>
                <w:rFonts w:ascii="Times New Roman" w:hAnsi="Times New Roman"/>
                <w:sz w:val="14"/>
                <w:szCs w:val="14"/>
                <w:lang w:val="ba-RU"/>
              </w:rPr>
              <w:t>)</w:t>
            </w:r>
          </w:p>
        </w:tc>
        <w:tc>
          <w:tcPr>
            <w:tcW w:w="1451" w:type="dxa"/>
          </w:tcPr>
          <w:p w14:paraId="180BDF0E">
            <w:pPr>
              <w:tabs>
                <w:tab w:val="left" w:pos="1980"/>
              </w:tabs>
              <w:spacing w:after="0" w:line="240" w:lineRule="auto"/>
              <w:jc w:val="center"/>
              <w:outlineLvl w:val="0"/>
              <w:rPr>
                <w:rFonts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-171450</wp:posOffset>
                  </wp:positionH>
                  <wp:positionV relativeFrom="paragraph">
                    <wp:posOffset>-635</wp:posOffset>
                  </wp:positionV>
                  <wp:extent cx="1022350" cy="1022350"/>
                  <wp:effectExtent l="0" t="0" r="6350" b="6350"/>
                  <wp:wrapNone/>
                  <wp:docPr id="78" name="Рисунок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Рисунок 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2350" cy="1022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287" w:type="dxa"/>
          </w:tcPr>
          <w:p w14:paraId="0C0BD227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МУНИЦИПАЛЬНОЕ БЮДЖЕТНОЕ</w:t>
            </w:r>
          </w:p>
          <w:p w14:paraId="42271A79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 xml:space="preserve"> УЧРЕЖДЕНИЕ ДОПОЛНИТЕЛЬНОГО ОБРАЗОВАНИЯ </w:t>
            </w:r>
          </w:p>
          <w:p w14:paraId="7FE19C8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be-BY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«ЦЕНТР ДЕТСКОГО (ЮНОШЕСКОГО) ТЕХНИЧЕСКОГО ТВОРЧЕСТВА»</w:t>
            </w:r>
          </w:p>
          <w:p w14:paraId="3E4C95C2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 xml:space="preserve">ГОРОДСКОГО ОКРУГА ГОРОД САЛАВАТ </w:t>
            </w:r>
          </w:p>
          <w:p w14:paraId="12BD2D74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РЕСПУБЛИКИ БАШКОРТОСТАН</w:t>
            </w:r>
          </w:p>
          <w:p w14:paraId="72B13B88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(МБУ ДО «ЦД(Ю)ТТ» г.Салавата)</w:t>
            </w:r>
          </w:p>
          <w:p w14:paraId="661B945F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14:paraId="231219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05" w:type="dxa"/>
            <w:gridSpan w:val="3"/>
          </w:tcPr>
          <w:tbl>
            <w:tblPr>
              <w:tblStyle w:val="3"/>
              <w:tblpPr w:leftFromText="180" w:rightFromText="180" w:vertAnchor="text" w:horzAnchor="margin" w:tblpY="-23"/>
              <w:tblW w:w="10065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065"/>
            </w:tblGrid>
            <w:tr w14:paraId="1911CD0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2" w:hRule="atLeast"/>
              </w:trPr>
              <w:tc>
                <w:tcPr>
                  <w:tcW w:w="10065" w:type="dxa"/>
                  <w:tcBorders>
                    <w:top w:val="thickThinSmallGap" w:color="auto" w:sz="24" w:space="0"/>
                    <w:left w:val="nil"/>
                    <w:bottom w:val="nil"/>
                    <w:right w:val="nil"/>
                  </w:tcBorders>
                </w:tcPr>
                <w:p w14:paraId="5188AC77">
                  <w:pPr>
                    <w:spacing w:after="0" w:line="240" w:lineRule="auto"/>
                    <w:rPr>
                      <w:rFonts w:ascii="Times New Roman" w:hAnsi="Times New Roman"/>
                      <w:b/>
                      <w:color w:val="92D050"/>
                      <w:sz w:val="4"/>
                      <w:lang w:val="be-BY"/>
                    </w:rPr>
                  </w:pPr>
                </w:p>
              </w:tc>
            </w:tr>
          </w:tbl>
          <w:p w14:paraId="6899DC0D">
            <w:pPr>
              <w:tabs>
                <w:tab w:val="left" w:pos="1980"/>
              </w:tabs>
              <w:outlineLvl w:val="0"/>
              <w:rPr>
                <w:rFonts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72043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67" w:type="dxa"/>
          </w:tcPr>
          <w:p w14:paraId="0152C455">
            <w:pPr>
              <w:shd w:val="clear" w:color="auto" w:fill="FFFFFF"/>
              <w:tabs>
                <w:tab w:val="center" w:pos="1829"/>
              </w:tabs>
              <w:spacing w:after="0"/>
              <w:outlineLvl w:val="2"/>
              <w:rPr>
                <w:rFonts w:ascii="Times New Roman" w:hAnsi="Times New Roman" w:eastAsia="Times New Roman" w:cs="Times New Roman"/>
                <w:b/>
                <w:color w:val="1D4ED8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rFonts w:ascii="Times New Roman" w:hAnsi="Times New Roman" w:eastAsia="Times New Roman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БОЙОРОҠ</w:t>
            </w:r>
          </w:p>
          <w:p w14:paraId="6E347174">
            <w:pPr>
              <w:tabs>
                <w:tab w:val="left" w:pos="1980"/>
              </w:tabs>
              <w:spacing w:after="0"/>
              <w:jc w:val="center"/>
              <w:outlineLvl w:val="0"/>
              <w:rPr>
                <w:rFonts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02   сентябрь   2024 й.</w:t>
            </w:r>
          </w:p>
          <w:p w14:paraId="59F7F7A6">
            <w:pPr>
              <w:tabs>
                <w:tab w:val="left" w:pos="1980"/>
              </w:tabs>
              <w:spacing w:after="0"/>
              <w:jc w:val="center"/>
              <w:outlineLvl w:val="0"/>
              <w:rPr>
                <w:rFonts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Салауат ҡ.</w:t>
            </w:r>
          </w:p>
        </w:tc>
        <w:tc>
          <w:tcPr>
            <w:tcW w:w="1451" w:type="dxa"/>
          </w:tcPr>
          <w:p w14:paraId="5113EA70">
            <w:pPr>
              <w:tabs>
                <w:tab w:val="left" w:pos="1980"/>
              </w:tabs>
              <w:spacing w:after="0"/>
              <w:jc w:val="center"/>
              <w:outlineLvl w:val="0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35F19014">
            <w:pPr>
              <w:tabs>
                <w:tab w:val="left" w:pos="1980"/>
              </w:tabs>
              <w:spacing w:after="0"/>
              <w:ind w:left="-11"/>
              <w:jc w:val="center"/>
              <w:outlineLvl w:val="0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№76</w:t>
            </w:r>
          </w:p>
        </w:tc>
        <w:tc>
          <w:tcPr>
            <w:tcW w:w="4287" w:type="dxa"/>
          </w:tcPr>
          <w:p w14:paraId="50B97DC1">
            <w:pPr>
              <w:tabs>
                <w:tab w:val="left" w:pos="1980"/>
              </w:tabs>
              <w:spacing w:after="0"/>
              <w:jc w:val="center"/>
              <w:outlineLvl w:val="0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ПРИКАЗ</w:t>
            </w:r>
          </w:p>
          <w:p w14:paraId="449618F5">
            <w:pPr>
              <w:tabs>
                <w:tab w:val="left" w:pos="1980"/>
              </w:tabs>
              <w:spacing w:after="0"/>
              <w:jc w:val="center"/>
              <w:outlineLvl w:val="0"/>
              <w:rPr>
                <w:rFonts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02   сентября   2024 г.</w:t>
            </w:r>
          </w:p>
          <w:p w14:paraId="15E01438">
            <w:pPr>
              <w:tabs>
                <w:tab w:val="left" w:pos="1980"/>
              </w:tabs>
              <w:spacing w:after="0"/>
              <w:jc w:val="center"/>
              <w:outlineLvl w:val="0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г. Салават</w:t>
            </w:r>
          </w:p>
        </w:tc>
      </w:tr>
    </w:tbl>
    <w:p w14:paraId="2E4F88FF">
      <w:pPr>
        <w:tabs>
          <w:tab w:val="left" w:pos="-2127"/>
        </w:tabs>
        <w:rPr>
          <w:rFonts w:ascii="Times New Roman" w:hAnsi="Times New Roman" w:cs="Times New Roman"/>
          <w:b/>
          <w:color w:val="F4B183" w:themeColor="accent2" w:themeTint="99"/>
          <w:sz w:val="24"/>
          <w:szCs w:val="24"/>
          <w14:textFill>
            <w14:solidFill>
              <w14:schemeClr w14:val="accent2">
                <w14:lumMod w14:val="60000"/>
                <w14:lumOff w14:val="40000"/>
              </w14:schemeClr>
            </w14:solidFill>
          </w14:textFill>
        </w:rPr>
      </w:pPr>
      <w:bookmarkStart w:id="0" w:name="_GoBack"/>
      <w:bookmarkEnd w:id="0"/>
    </w:p>
    <w:p w14:paraId="42934AE1">
      <w:pPr>
        <w:tabs>
          <w:tab w:val="left" w:pos="-2127"/>
        </w:tabs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Об усилении антитеррористической защищенности</w:t>
      </w:r>
    </w:p>
    <w:p w14:paraId="2A332C40">
      <w:pPr>
        <w:pStyle w:val="7"/>
        <w:shd w:val="clear" w:color="auto" w:fill="auto"/>
        <w:spacing w:after="0" w:line="240" w:lineRule="auto"/>
        <w:ind w:left="20" w:right="40"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 w:bidi="ru-RU"/>
          <w14:textFill>
            <w14:solidFill>
              <w14:schemeClr w14:val="tx1"/>
            </w14:solidFill>
          </w14:textFill>
        </w:rPr>
        <w:t xml:space="preserve">В целях обеспечения надежной охраны зданий, помещений и имущества, безопасного функционирования МБУ ДО «ЦД(Ю)ТТ» г.Салавата, своевременного обнаружения и предотвращения опасных ситуаций, поддержания порядка и реализации мер по защите персонала, обучающихся в период их нахождения на территории, в зданиях, сооружениях и упорядочения работы учреждения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п р и к а з ы в а ю:</w:t>
      </w:r>
    </w:p>
    <w:p w14:paraId="01ACED44">
      <w:pPr>
        <w:pStyle w:val="7"/>
        <w:shd w:val="clear" w:color="auto" w:fill="auto"/>
        <w:spacing w:after="0" w:line="276" w:lineRule="auto"/>
        <w:ind w:left="20" w:right="40"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6F6A5019">
      <w:pPr>
        <w:pStyle w:val="7"/>
        <w:shd w:val="clear" w:color="auto" w:fill="auto"/>
        <w:spacing w:after="0" w:line="276" w:lineRule="auto"/>
        <w:ind w:right="4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1.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 w:bidi="ru-RU"/>
          <w14:textFill>
            <w14:solidFill>
              <w14:schemeClr w14:val="tx1"/>
            </w14:solidFill>
          </w14:textFill>
        </w:rPr>
        <w:t xml:space="preserve">В целях исключения нахождения на территории и в здании </w:t>
      </w:r>
      <w:r>
        <w:rPr>
          <w:rStyle w:val="4"/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МБУ ДО «ЦД(Ю)ТТ» г. Салавата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 w:bidi="ru-RU"/>
          <w14:textFill>
            <w14:solidFill>
              <w14:schemeClr w14:val="tx1"/>
            </w14:solidFill>
          </w14:textFill>
        </w:rPr>
        <w:t xml:space="preserve"> посторонних лиц и предотвращения несанкционированного доступа установить порядок пропуска:</w:t>
      </w:r>
    </w:p>
    <w:p w14:paraId="21918ED0">
      <w:pPr>
        <w:pStyle w:val="7"/>
        <w:shd w:val="clear" w:color="auto" w:fill="auto"/>
        <w:spacing w:after="0" w:line="276" w:lineRule="auto"/>
        <w:ind w:right="4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ru-RU" w:bidi="ru-RU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1.1.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 w:bidi="ru-RU"/>
          <w14:textFill>
            <w14:solidFill>
              <w14:schemeClr w14:val="tx1"/>
            </w14:solidFill>
          </w14:textFill>
        </w:rPr>
        <w:t xml:space="preserve">В здании и на территории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МБУ ДО «ЦД(Ю)ТТ» г. Салавата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 w:bidi="ru-RU"/>
          <w14:textFill>
            <w14:solidFill>
              <w14:schemeClr w14:val="tx1"/>
            </w14:solidFill>
          </w14:textFill>
        </w:rPr>
        <w:t xml:space="preserve"> обеспечить только санкционированный доступ должностных лиц, персонала, обучающихся, посетителей и транспортных средств. </w:t>
      </w:r>
    </w:p>
    <w:p w14:paraId="723D6403">
      <w:pPr>
        <w:pStyle w:val="7"/>
        <w:shd w:val="clear" w:color="auto" w:fill="auto"/>
        <w:spacing w:after="0" w:line="276" w:lineRule="auto"/>
        <w:ind w:right="2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ru-RU" w:bidi="ru-RU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1.2.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 w:bidi="ru-RU"/>
          <w14:textFill>
            <w14:solidFill>
              <w14:schemeClr w14:val="tx1"/>
            </w14:solidFill>
          </w14:textFill>
        </w:rPr>
        <w:t xml:space="preserve">Круглосуточный доступ в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МБУ ДО «ЦД(Ю)ТТ» г. Салавата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 w:bidi="ru-RU"/>
          <w14:textFill>
            <w14:solidFill>
              <w14:schemeClr w14:val="tx1"/>
            </w14:solidFill>
          </w14:textFill>
        </w:rPr>
        <w:t xml:space="preserve"> разрешить должностным лицам, педагогическому составу и охране.</w:t>
      </w:r>
    </w:p>
    <w:p w14:paraId="45A9D362">
      <w:pPr>
        <w:pStyle w:val="5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1.3. Проезд технических средств и транспорта для уборки территории и вывоза мусора, завоза материальных средств осуществлять с той стороны, где расположены хозяйственные помещения.</w:t>
      </w:r>
    </w:p>
    <w:p w14:paraId="0FE65449">
      <w:pPr>
        <w:pStyle w:val="5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Контроль пропуска (как при въезде, так и при выезде) вышеуказанных средств и контроль за работой этих средств на объектах учреждения возложить на Суркову Марину Ивановну, заместителя директора по АХЧ.</w:t>
      </w:r>
    </w:p>
    <w:p w14:paraId="2546FDC4">
      <w:pPr>
        <w:pStyle w:val="5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2. В целях упорядочения работы учреждения установить следующий распорядок:</w:t>
      </w:r>
    </w:p>
    <w:p w14:paraId="7FF029EE">
      <w:pPr>
        <w:pStyle w:val="5"/>
        <w:rPr>
          <w:rFonts w:ascii="Times New Roman" w:hAnsi="Times New Roman" w:cs="Times New Roman"/>
          <w:color w:val="000000" w:themeColor="text1"/>
          <w:lang w:eastAsia="ru-RU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lang w:eastAsia="ru-RU"/>
          <w14:textFill>
            <w14:solidFill>
              <w14:schemeClr w14:val="tx1"/>
            </w14:solidFill>
          </w14:textFill>
        </w:rPr>
        <w:t xml:space="preserve">Рабочие дни для работы 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МБУ ДО «ЦД(Ю)ТТ» г. Салавата</w:t>
      </w:r>
      <w:r>
        <w:rPr>
          <w:rFonts w:ascii="Times New Roman" w:hAnsi="Times New Roman" w:cs="Times New Roman"/>
          <w:color w:val="000000" w:themeColor="text1"/>
          <w:lang w:eastAsia="ru-RU"/>
          <w14:textFill>
            <w14:solidFill>
              <w14:schemeClr w14:val="tx1"/>
            </w14:solidFill>
          </w14:textFill>
        </w:rPr>
        <w:t>:</w:t>
      </w:r>
    </w:p>
    <w:p w14:paraId="7D5C6E04">
      <w:pPr>
        <w:pStyle w:val="5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Понедельник – 09.00 – 18.00;</w:t>
      </w:r>
    </w:p>
    <w:p w14:paraId="4384731B">
      <w:pPr>
        <w:pStyle w:val="5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Вторник – 09.00 – 18.00;</w:t>
      </w:r>
    </w:p>
    <w:p w14:paraId="48C6B756">
      <w:pPr>
        <w:pStyle w:val="5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Среда – 09.00 – 18.00;</w:t>
      </w:r>
    </w:p>
    <w:p w14:paraId="5DEF5AAE">
      <w:pPr>
        <w:pStyle w:val="5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Четверг – 09.00 – 18.00;</w:t>
      </w:r>
    </w:p>
    <w:p w14:paraId="41148E3F">
      <w:pPr>
        <w:pStyle w:val="5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Пятница – 09.00 – 18.00;</w:t>
      </w:r>
    </w:p>
    <w:p w14:paraId="6B7588ED">
      <w:pPr>
        <w:pStyle w:val="5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Суббота – 09.00 – 16.00.</w:t>
      </w:r>
    </w:p>
    <w:p w14:paraId="017477AA">
      <w:pPr>
        <w:pStyle w:val="5"/>
        <w:rPr>
          <w:rFonts w:ascii="Times New Roman" w:hAnsi="Times New Roman" w:cs="Times New Roman"/>
          <w:color w:val="000000" w:themeColor="text1"/>
          <w:lang w:eastAsia="ru-RU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lang w:eastAsia="ru-RU"/>
          <w14:textFill>
            <w14:solidFill>
              <w14:schemeClr w14:val="tx1"/>
            </w14:solidFill>
          </w14:textFill>
        </w:rPr>
        <w:t xml:space="preserve">Нерабочие дни для работы 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МБУ ДО «ЦД(Ю)ТТ» г. Салавата</w:t>
      </w:r>
      <w:r>
        <w:rPr>
          <w:rFonts w:ascii="Times New Roman" w:hAnsi="Times New Roman" w:cs="Times New Roman"/>
          <w:color w:val="000000" w:themeColor="text1"/>
          <w:lang w:eastAsia="ru-RU"/>
          <w14:textFill>
            <w14:solidFill>
              <w14:schemeClr w14:val="tx1"/>
            </w14:solidFill>
          </w14:textFill>
        </w:rPr>
        <w:t>:</w:t>
      </w:r>
    </w:p>
    <w:p w14:paraId="09203A46">
      <w:pPr>
        <w:pStyle w:val="5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Воскресенье. </w:t>
      </w:r>
    </w:p>
    <w:p w14:paraId="5F58105C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3. Сурковой М.И., заместителю директора по АХЧ:</w:t>
      </w:r>
    </w:p>
    <w:p w14:paraId="45117DB8">
      <w:pPr>
        <w:pStyle w:val="7"/>
        <w:shd w:val="clear" w:color="auto" w:fill="auto"/>
        <w:spacing w:after="0" w:line="276" w:lineRule="auto"/>
        <w:ind w:right="20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3.1.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 w:bidi="ru-RU"/>
          <w14:textFill>
            <w14:solidFill>
              <w14:schemeClr w14:val="tx1"/>
            </w14:solidFill>
          </w14:textFill>
        </w:rPr>
        <w:t>Организовать перед началом каждого рабочего дня проведение следующих проверок: безопасности территории вокруг здания учреждения, состояния замков на дверях запасных выходов, и хозяйственных помещений; состояния холла (-ов), мест для раздевания и хранения верхней одежды, лестничных проходов; безопасного содержания электрощитов и другого специального оборудования</w:t>
      </w:r>
      <w:r>
        <w:rPr>
          <w:rStyle w:val="9"/>
          <w:rFonts w:eastAsia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;</w:t>
      </w:r>
    </w:p>
    <w:p w14:paraId="7BB624EB">
      <w:pPr>
        <w:pStyle w:val="7"/>
        <w:shd w:val="clear" w:color="auto" w:fill="auto"/>
        <w:spacing w:after="0" w:line="276" w:lineRule="auto"/>
        <w:ind w:right="20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ru-RU" w:bidi="ru-RU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 w:bidi="ru-RU"/>
          <w14:textFill>
            <w14:solidFill>
              <w14:schemeClr w14:val="tx1"/>
            </w14:solidFill>
          </w14:textFill>
        </w:rPr>
        <w:t>3.2. Особое внимание уделять проверке безопасности содержания мест проведения общих мероприятий в учреждении.</w:t>
      </w:r>
    </w:p>
    <w:p w14:paraId="55AC9233">
      <w:pPr>
        <w:pStyle w:val="7"/>
        <w:shd w:val="clear" w:color="auto" w:fill="auto"/>
        <w:spacing w:after="0" w:line="276" w:lineRule="auto"/>
        <w:ind w:right="20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ru-RU" w:bidi="ru-RU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 w:bidi="ru-RU"/>
          <w14:textFill>
            <w14:solidFill>
              <w14:schemeClr w14:val="tx1"/>
            </w14:solidFill>
          </w14:textFill>
        </w:rPr>
        <w:t>4. Педагогам дополнительного образования:</w:t>
      </w:r>
    </w:p>
    <w:p w14:paraId="159FBC80">
      <w:pPr>
        <w:pStyle w:val="7"/>
        <w:shd w:val="clear" w:color="auto" w:fill="auto"/>
        <w:tabs>
          <w:tab w:val="left" w:leader="underscore" w:pos="6236"/>
        </w:tabs>
        <w:spacing w:after="0" w:line="276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ru-RU" w:bidi="ru-RU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 w:bidi="ru-RU"/>
          <w14:textFill>
            <w14:solidFill>
              <w14:schemeClr w14:val="tx1"/>
            </w14:solidFill>
          </w14:textFill>
        </w:rPr>
        <w:t>4.1. Прибывать на свои рабочие места за 15 минут до начала занятия;</w:t>
      </w:r>
    </w:p>
    <w:p w14:paraId="3EA269B8">
      <w:pPr>
        <w:pStyle w:val="7"/>
        <w:shd w:val="clear" w:color="auto" w:fill="auto"/>
        <w:spacing w:after="0" w:line="276" w:lineRule="auto"/>
        <w:ind w:right="20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ru-RU" w:bidi="ru-RU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 w:bidi="ru-RU"/>
          <w14:textFill>
            <w14:solidFill>
              <w14:schemeClr w14:val="tx1"/>
            </w14:solidFill>
          </w14:textFill>
        </w:rPr>
        <w:t>Непосредственно перед началом занятия визуальным осмотром проверять учебный кабинет на предмет безопасного состояния и исправности оборудования, отсутствия подозрительных и опасных для жизни и здоровья обучающихся предметов и веществ.</w:t>
      </w:r>
    </w:p>
    <w:p w14:paraId="4AB9BEAC">
      <w:pPr>
        <w:pStyle w:val="7"/>
        <w:shd w:val="clear" w:color="auto" w:fill="auto"/>
        <w:spacing w:after="0" w:line="276" w:lineRule="auto"/>
        <w:ind w:right="20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 w:bidi="ru-RU"/>
          <w14:textFill>
            <w14:solidFill>
              <w14:schemeClr w14:val="tx1"/>
            </w14:solidFill>
          </w14:textFill>
        </w:rPr>
        <w:t>4.2. Запретить в учебных кабинетах хранение посторонних предметов, учебного оборудования и другого имущества не предусмотренных утвержденным перечнем и программой.</w:t>
      </w:r>
    </w:p>
    <w:p w14:paraId="1221901C">
      <w:pPr>
        <w:pStyle w:val="7"/>
        <w:shd w:val="clear" w:color="auto" w:fill="auto"/>
        <w:spacing w:after="0" w:line="276" w:lineRule="auto"/>
        <w:ind w:right="20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 w:bidi="ru-RU"/>
          <w14:textFill>
            <w14:solidFill>
              <w14:schemeClr w14:val="tx1"/>
            </w14:solidFill>
          </w14:textFill>
        </w:rPr>
        <w:t xml:space="preserve">5. Ответственной за надлежащее состояние и содержание помещений (зданий, строений) назначить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Суркову М.И., заместителя директора по АХЧ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 w:bidi="ru-RU"/>
          <w14:textFill>
            <w14:solidFill>
              <w14:schemeClr w14:val="tx1"/>
            </w14:solidFill>
          </w14:textFill>
        </w:rPr>
        <w:t>:</w:t>
      </w:r>
    </w:p>
    <w:p w14:paraId="47E6A534">
      <w:pPr>
        <w:pStyle w:val="7"/>
        <w:shd w:val="clear" w:color="auto" w:fill="auto"/>
        <w:spacing w:after="0" w:line="276" w:lineRule="auto"/>
        <w:ind w:right="20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 w:bidi="ru-RU"/>
          <w14:textFill>
            <w14:solidFill>
              <w14:schemeClr w14:val="tx1"/>
            </w14:solidFill>
          </w14:textFill>
        </w:rPr>
        <w:t>5.1. Постоянно контролировать их безопасное содержание и эксплуатацию установленного оборудования; обеспечивать сохранность имущества и документации, соблюдение установленного режима работы, выполнение правил эксплуатации, пожарной и электрической безопасности, своевременную уборку и сдачу под охрану.</w:t>
      </w:r>
    </w:p>
    <w:p w14:paraId="2B55BAB6">
      <w:pPr>
        <w:pStyle w:val="7"/>
        <w:shd w:val="clear" w:color="auto" w:fill="auto"/>
        <w:spacing w:after="0" w:line="276" w:lineRule="auto"/>
        <w:ind w:right="20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 w:bidi="ru-RU"/>
          <w14:textFill>
            <w14:solidFill>
              <w14:schemeClr w14:val="tx1"/>
            </w14:solidFill>
          </w14:textFill>
        </w:rPr>
        <w:t>5.2. Категорически запретить проведение временных огневых и других опасных работ без письменного разрешения директора (либо лица исполняющего обязанности) и предварительной организации надежных противопожарных и защитных мер.</w:t>
      </w:r>
    </w:p>
    <w:p w14:paraId="5F7BFEA4">
      <w:pPr>
        <w:pStyle w:val="7"/>
        <w:shd w:val="clear" w:color="auto" w:fill="auto"/>
        <w:spacing w:after="0" w:line="276" w:lineRule="auto"/>
        <w:ind w:right="20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 w:bidi="ru-RU"/>
          <w14:textFill>
            <w14:solidFill>
              <w14:schemeClr w14:val="tx1"/>
            </w14:solidFill>
          </w14:textFill>
        </w:rPr>
        <w:t>5.3. Помещения и места расположения оборудования, имеющего повышенную пожарную, электрическую, травматическую опасность, обозначить стандартными знаками предупреждения.</w:t>
      </w:r>
    </w:p>
    <w:p w14:paraId="53AF9BEA">
      <w:pPr>
        <w:pStyle w:val="7"/>
        <w:shd w:val="clear" w:color="auto" w:fill="auto"/>
        <w:spacing w:after="0" w:line="276" w:lineRule="auto"/>
        <w:ind w:right="20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 w:bidi="ru-RU"/>
          <w14:textFill>
            <w14:solidFill>
              <w14:schemeClr w14:val="tx1"/>
            </w14:solidFill>
          </w14:textFill>
        </w:rPr>
        <w:t>5.4. Во всех помещениях иметь описи находящегося в них оборудования и имущества, а на каждом этаже здания, на хорошо видных местах, иметь схемы эвакуации людей и имущества при пожаре и в случае возникновения чрезвычайных ситуаций.</w:t>
      </w:r>
    </w:p>
    <w:p w14:paraId="07F4E597">
      <w:pPr>
        <w:pStyle w:val="7"/>
        <w:shd w:val="clear" w:color="auto" w:fill="auto"/>
        <w:spacing w:after="0" w:line="276" w:lineRule="auto"/>
        <w:ind w:right="20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 w:bidi="ru-RU"/>
          <w14:textFill>
            <w14:solidFill>
              <w14:schemeClr w14:val="tx1"/>
            </w14:solidFill>
          </w14:textFill>
        </w:rPr>
        <w:t>5.5. Сигналы оповещения (три длинных звонка), порядок проведения эвакуации людей и имущества довести до всего персонала.</w:t>
      </w:r>
    </w:p>
    <w:p w14:paraId="59AA76B4">
      <w:pPr>
        <w:pStyle w:val="7"/>
        <w:shd w:val="clear" w:color="auto" w:fill="auto"/>
        <w:spacing w:after="0" w:line="276" w:lineRule="auto"/>
        <w:ind w:right="20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 w:bidi="ru-RU"/>
          <w14:textFill>
            <w14:solidFill>
              <w14:schemeClr w14:val="tx1"/>
            </w14:solidFill>
          </w14:textFill>
        </w:rPr>
        <w:t>5.6. На дверях запасных выходов, чердачных помещений, технических этажей и подвалов, других закрытых на замок помещений, в которых не находятся люди, разместить таблички с указанием фамилии и инициалов ответственного за эти помещения и места хранения ключей.</w:t>
      </w:r>
    </w:p>
    <w:p w14:paraId="7E4E8702">
      <w:pPr>
        <w:pStyle w:val="7"/>
        <w:shd w:val="clear" w:color="auto" w:fill="auto"/>
        <w:spacing w:after="0" w:line="276" w:lineRule="auto"/>
        <w:ind w:right="20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 w:bidi="ru-RU"/>
          <w14:textFill>
            <w14:solidFill>
              <w14:schemeClr w14:val="tx1"/>
            </w14:solidFill>
          </w14:textFill>
        </w:rPr>
        <w:t>5.7. Бытовой мусор, строительные и производственные отходы собирать только на специально выделенной площадке, в контейнеры, с последующим их вывозом, специально оборудованным транспортом.</w:t>
      </w:r>
    </w:p>
    <w:p w14:paraId="5CF66175">
      <w:pPr>
        <w:pStyle w:val="7"/>
        <w:shd w:val="clear" w:color="auto" w:fill="auto"/>
        <w:spacing w:after="0" w:line="276" w:lineRule="auto"/>
        <w:ind w:right="20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ru-RU" w:bidi="ru-RU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 w:bidi="ru-RU"/>
          <w14:textFill>
            <w14:solidFill>
              <w14:schemeClr w14:val="tx1"/>
            </w14:solidFill>
          </w14:textFill>
        </w:rPr>
        <w:t xml:space="preserve">Исключить сжигание мусора, использованной тары, отходов и т. п., а также разведение костров на территории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МБУ ДО «ЦД(Ю)ТТ» г. Салавата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 w:bidi="ru-RU"/>
          <w14:textFill>
            <w14:solidFill>
              <w14:schemeClr w14:val="tx1"/>
            </w14:solidFill>
          </w14:textFill>
        </w:rPr>
        <w:t>.</w:t>
      </w:r>
    </w:p>
    <w:p w14:paraId="31B18E04">
      <w:pPr>
        <w:pStyle w:val="7"/>
        <w:shd w:val="clear" w:color="auto" w:fill="auto"/>
        <w:tabs>
          <w:tab w:val="left" w:pos="1216"/>
        </w:tabs>
        <w:spacing w:after="0" w:line="276" w:lineRule="auto"/>
        <w:ind w:right="20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 w:bidi="ru-RU"/>
          <w14:textFill>
            <w14:solidFill>
              <w14:schemeClr w14:val="tx1"/>
            </w14:solidFill>
          </w14:textFill>
        </w:rPr>
        <w:t>5.8. Содержать в исправном, рабочем состоянии освещение территории, входов в здания, оборудованных площадок и всех помещений.</w:t>
      </w:r>
    </w:p>
    <w:p w14:paraId="19A07A8E">
      <w:pPr>
        <w:pStyle w:val="7"/>
        <w:shd w:val="clear" w:color="auto" w:fill="auto"/>
        <w:tabs>
          <w:tab w:val="left" w:pos="1204"/>
        </w:tabs>
        <w:spacing w:after="0" w:line="276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 w:bidi="ru-RU"/>
          <w14:textFill>
            <w14:solidFill>
              <w14:schemeClr w14:val="tx1"/>
            </w14:solidFill>
          </w14:textFill>
        </w:rPr>
        <w:t>6. Контроль за исполнением приказа оставляю за собой.</w:t>
      </w:r>
    </w:p>
    <w:p w14:paraId="2C86BCAB">
      <w:pPr>
        <w:spacing w:after="0" w:line="240" w:lineRule="auto"/>
        <w:jc w:val="both"/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Директор              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lang w:val="ru-RU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        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lang w:val="ru-RU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ab/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lang w:val="ru-RU"/>
          <w14:textFill>
            <w14:solidFill>
              <w14:schemeClr w14:val="tx1"/>
            </w14:solidFill>
          </w14:textFill>
        </w:rPr>
        <w:t xml:space="preserve">                                                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С.Ф.Габитова      </w:t>
      </w: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04D6"/>
    <w:rsid w:val="002104D6"/>
    <w:rsid w:val="004645C1"/>
    <w:rsid w:val="00A959C4"/>
    <w:rsid w:val="7C835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nhideWhenUsed="0" w:uiPriority="0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qFormat/>
    <w:uiPriority w:val="0"/>
    <w:rPr>
      <w:b/>
      <w:bCs/>
    </w:rPr>
  </w:style>
  <w:style w:type="paragraph" w:styleId="5">
    <w:name w:val="toc 3"/>
    <w:basedOn w:val="1"/>
    <w:link w:val="8"/>
    <w:autoRedefine/>
    <w:uiPriority w:val="0"/>
    <w:pPr>
      <w:widowControl w:val="0"/>
      <w:tabs>
        <w:tab w:val="center" w:leader="underscore" w:pos="5619"/>
      </w:tabs>
      <w:spacing w:after="0"/>
      <w:ind w:right="20" w:firstLine="709"/>
      <w:jc w:val="both"/>
    </w:pPr>
    <w:rPr>
      <w:rFonts w:eastAsia="Times New Roman"/>
      <w:color w:val="FF0000"/>
      <w:spacing w:val="3"/>
      <w:sz w:val="24"/>
      <w:szCs w:val="24"/>
      <w:lang w:eastAsia="en-US" w:bidi="ru-RU"/>
    </w:rPr>
  </w:style>
  <w:style w:type="table" w:styleId="6">
    <w:name w:val="Table Grid"/>
    <w:basedOn w:val="3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7">
    <w:name w:val="Основной текст4"/>
    <w:basedOn w:val="1"/>
    <w:uiPriority w:val="0"/>
    <w:pPr>
      <w:widowControl w:val="0"/>
      <w:shd w:val="clear" w:color="auto" w:fill="FFFFFF"/>
      <w:spacing w:after="60" w:line="269" w:lineRule="exact"/>
      <w:jc w:val="center"/>
    </w:pPr>
    <w:rPr>
      <w:rFonts w:eastAsia="Times New Roman"/>
      <w:spacing w:val="4"/>
      <w:sz w:val="21"/>
      <w:szCs w:val="21"/>
      <w:lang w:eastAsia="en-US"/>
    </w:rPr>
  </w:style>
  <w:style w:type="character" w:customStyle="1" w:styleId="8">
    <w:name w:val="Оглавление 3 Знак"/>
    <w:basedOn w:val="2"/>
    <w:link w:val="5"/>
    <w:uiPriority w:val="0"/>
    <w:rPr>
      <w:rFonts w:eastAsia="Times New Roman"/>
      <w:color w:val="FF0000"/>
      <w:spacing w:val="3"/>
      <w:sz w:val="24"/>
      <w:szCs w:val="24"/>
      <w:lang w:bidi="ru-RU"/>
    </w:rPr>
  </w:style>
  <w:style w:type="character" w:customStyle="1" w:styleId="9">
    <w:name w:val="Основной текст + Курсив;Интервал 0 pt"/>
    <w:basedOn w:val="2"/>
    <w:uiPriority w:val="0"/>
    <w:rPr>
      <w:rFonts w:ascii="Times New Roman" w:hAnsi="Times New Roman" w:eastAsia="Times New Roman" w:cs="Times New Roman"/>
      <w:i/>
      <w:iCs/>
      <w:color w:val="000000"/>
      <w:spacing w:val="-1"/>
      <w:w w:val="100"/>
      <w:position w:val="0"/>
      <w:sz w:val="21"/>
      <w:szCs w:val="21"/>
      <w:shd w:val="clear" w:color="auto" w:fill="FFFFFF"/>
      <w:lang w:val="ru-RU" w:eastAsia="ru-RU" w:bidi="ru-RU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778</Words>
  <Characters>4441</Characters>
  <Lines>37</Lines>
  <Paragraphs>10</Paragraphs>
  <TotalTime>1</TotalTime>
  <ScaleCrop>false</ScaleCrop>
  <LinksUpToDate>false</LinksUpToDate>
  <CharactersWithSpaces>5209</CharactersWithSpaces>
  <Application>WPS Office_12.2.0.18639_F1E327BC-269C-435d-A152-05C5408002CA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2024-11-26T11:24:00Z</dcterms:created>
  <dc:creator>Пользователь</dc:creator>
  <cp:lastModifiedBy>Настя</cp:lastModifiedBy>
  <dcterms:modified xsi:type="dcterms:W3CDTF">2024-11-26T15:54:56Z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1049-12.2.0.18639</vt:lpwstr>
  </property>
  <property fmtid="{D5CDD505-2E9C-101B-9397-08002B2CF9AE}" pid="3" name="ICV">
    <vt:lpwstr>60BB880B898B44A0BCE62258EFFE4E95_12</vt:lpwstr>
  </property>
</Properties>
</file>