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D20B1" w14:textId="0406FB13" w:rsidR="007B552F" w:rsidRPr="007B552F" w:rsidRDefault="007B552F" w:rsidP="007B552F">
      <w:pPr>
        <w:jc w:val="both"/>
        <w:rPr>
          <w:rFonts w:ascii="Times New Roman" w:hAnsi="Times New Roman" w:cs="Times New Roman"/>
          <w:sz w:val="28"/>
          <w:szCs w:val="28"/>
        </w:rPr>
      </w:pPr>
      <w:r w:rsidRPr="007B552F">
        <w:rPr>
          <w:rFonts w:ascii="Times New Roman" w:hAnsi="Times New Roman" w:cs="Times New Roman"/>
          <w:sz w:val="28"/>
          <w:szCs w:val="28"/>
        </w:rPr>
        <w:t>Основные понятия черчения. Включает изучение графических изображений, чертёжных инструментов и материалов, линий и углов, форматов чертежей, чертёжного шрифта, линий чертежа, нанесения размеров и масштабов. </w:t>
      </w:r>
      <w:bookmarkStart w:id="0" w:name="_GoBack"/>
      <w:bookmarkEnd w:id="0"/>
      <w:r w:rsidR="001D41D9" w:rsidRPr="007B55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2BEA43" w14:textId="77777777" w:rsidR="007B552F" w:rsidRPr="007B552F" w:rsidRDefault="007B552F" w:rsidP="007B552F">
      <w:pPr>
        <w:jc w:val="both"/>
        <w:rPr>
          <w:rFonts w:ascii="Times New Roman" w:hAnsi="Times New Roman" w:cs="Times New Roman"/>
          <w:sz w:val="28"/>
          <w:szCs w:val="28"/>
        </w:rPr>
      </w:pPr>
      <w:r w:rsidRPr="007B552F">
        <w:rPr>
          <w:rFonts w:ascii="Times New Roman" w:hAnsi="Times New Roman" w:cs="Times New Roman"/>
          <w:sz w:val="28"/>
          <w:szCs w:val="28"/>
        </w:rPr>
        <w:t>Геометрические построения. К ним относятся:</w:t>
      </w:r>
    </w:p>
    <w:p w14:paraId="43C6DC83" w14:textId="77777777" w:rsidR="007B552F" w:rsidRPr="007B552F" w:rsidRDefault="007B552F" w:rsidP="007B552F">
      <w:pPr>
        <w:jc w:val="both"/>
        <w:rPr>
          <w:rFonts w:ascii="Times New Roman" w:hAnsi="Times New Roman" w:cs="Times New Roman"/>
          <w:sz w:val="28"/>
          <w:szCs w:val="28"/>
        </w:rPr>
      </w:pPr>
      <w:r w:rsidRPr="007B552F">
        <w:rPr>
          <w:rFonts w:ascii="Times New Roman" w:hAnsi="Times New Roman" w:cs="Times New Roman"/>
          <w:sz w:val="28"/>
          <w:szCs w:val="28"/>
        </w:rPr>
        <w:t>анализ графического состава изображения;</w:t>
      </w:r>
    </w:p>
    <w:p w14:paraId="3F067511" w14:textId="77777777" w:rsidR="007B552F" w:rsidRPr="007B552F" w:rsidRDefault="007B552F" w:rsidP="007B552F">
      <w:pPr>
        <w:jc w:val="both"/>
        <w:rPr>
          <w:rFonts w:ascii="Times New Roman" w:hAnsi="Times New Roman" w:cs="Times New Roman"/>
          <w:sz w:val="28"/>
          <w:szCs w:val="28"/>
        </w:rPr>
      </w:pPr>
      <w:r w:rsidRPr="007B552F">
        <w:rPr>
          <w:rFonts w:ascii="Times New Roman" w:hAnsi="Times New Roman" w:cs="Times New Roman"/>
          <w:sz w:val="28"/>
          <w:szCs w:val="28"/>
        </w:rPr>
        <w:t>деление отрезков прямых на равные части;</w:t>
      </w:r>
    </w:p>
    <w:p w14:paraId="75C5E118" w14:textId="77777777" w:rsidR="007B552F" w:rsidRPr="007B552F" w:rsidRDefault="007B552F" w:rsidP="007B552F">
      <w:pPr>
        <w:jc w:val="both"/>
        <w:rPr>
          <w:rFonts w:ascii="Times New Roman" w:hAnsi="Times New Roman" w:cs="Times New Roman"/>
          <w:sz w:val="28"/>
          <w:szCs w:val="28"/>
        </w:rPr>
      </w:pPr>
      <w:r w:rsidRPr="007B552F">
        <w:rPr>
          <w:rFonts w:ascii="Times New Roman" w:hAnsi="Times New Roman" w:cs="Times New Roman"/>
          <w:sz w:val="28"/>
          <w:szCs w:val="28"/>
        </w:rPr>
        <w:t>проведение перпендикулярных и параллельных линий;</w:t>
      </w:r>
    </w:p>
    <w:p w14:paraId="43594058" w14:textId="77777777" w:rsidR="007B552F" w:rsidRPr="007B552F" w:rsidRDefault="007B552F" w:rsidP="007B552F">
      <w:pPr>
        <w:jc w:val="both"/>
        <w:rPr>
          <w:rFonts w:ascii="Times New Roman" w:hAnsi="Times New Roman" w:cs="Times New Roman"/>
          <w:sz w:val="28"/>
          <w:szCs w:val="28"/>
        </w:rPr>
      </w:pPr>
      <w:r w:rsidRPr="007B552F">
        <w:rPr>
          <w:rFonts w:ascii="Times New Roman" w:hAnsi="Times New Roman" w:cs="Times New Roman"/>
          <w:sz w:val="28"/>
          <w:szCs w:val="28"/>
        </w:rPr>
        <w:t>построение и деление углов на равные части;</w:t>
      </w:r>
    </w:p>
    <w:p w14:paraId="520635BA" w14:textId="77777777" w:rsidR="007B552F" w:rsidRPr="007B552F" w:rsidRDefault="007B552F" w:rsidP="007B552F">
      <w:pPr>
        <w:jc w:val="both"/>
        <w:rPr>
          <w:rFonts w:ascii="Times New Roman" w:hAnsi="Times New Roman" w:cs="Times New Roman"/>
          <w:sz w:val="28"/>
          <w:szCs w:val="28"/>
        </w:rPr>
      </w:pPr>
      <w:r w:rsidRPr="007B552F">
        <w:rPr>
          <w:rFonts w:ascii="Times New Roman" w:hAnsi="Times New Roman" w:cs="Times New Roman"/>
          <w:sz w:val="28"/>
          <w:szCs w:val="28"/>
        </w:rPr>
        <w:t>деление окружности на равные части (построение многоугольников);</w:t>
      </w:r>
    </w:p>
    <w:p w14:paraId="5347FE88" w14:textId="77777777" w:rsidR="007B552F" w:rsidRPr="007B552F" w:rsidRDefault="007B552F" w:rsidP="007B552F">
      <w:pPr>
        <w:jc w:val="both"/>
        <w:rPr>
          <w:rFonts w:ascii="Times New Roman" w:hAnsi="Times New Roman" w:cs="Times New Roman"/>
          <w:sz w:val="28"/>
          <w:szCs w:val="28"/>
        </w:rPr>
      </w:pPr>
      <w:r w:rsidRPr="007B552F">
        <w:rPr>
          <w:rFonts w:ascii="Times New Roman" w:hAnsi="Times New Roman" w:cs="Times New Roman"/>
          <w:sz w:val="28"/>
          <w:szCs w:val="28"/>
        </w:rPr>
        <w:t>построение касательных к окружности;</w:t>
      </w:r>
    </w:p>
    <w:p w14:paraId="6FAF6E4D" w14:textId="5E3260BE" w:rsidR="007B552F" w:rsidRPr="007B552F" w:rsidRDefault="007B552F" w:rsidP="007B552F">
      <w:pPr>
        <w:jc w:val="both"/>
        <w:rPr>
          <w:rFonts w:ascii="Times New Roman" w:hAnsi="Times New Roman" w:cs="Times New Roman"/>
          <w:sz w:val="28"/>
          <w:szCs w:val="28"/>
        </w:rPr>
      </w:pPr>
      <w:r w:rsidRPr="007B552F">
        <w:rPr>
          <w:rFonts w:ascii="Times New Roman" w:hAnsi="Times New Roman" w:cs="Times New Roman"/>
          <w:sz w:val="28"/>
          <w:szCs w:val="28"/>
        </w:rPr>
        <w:t>сопряжения (плавный переход одной линии в другую).</w:t>
      </w:r>
    </w:p>
    <w:p w14:paraId="382762CE" w14:textId="07EA82C1" w:rsidR="007B552F" w:rsidRPr="007B552F" w:rsidRDefault="007B552F" w:rsidP="007B552F">
      <w:pPr>
        <w:jc w:val="both"/>
        <w:rPr>
          <w:rFonts w:ascii="Times New Roman" w:hAnsi="Times New Roman" w:cs="Times New Roman"/>
          <w:sz w:val="28"/>
          <w:szCs w:val="28"/>
        </w:rPr>
      </w:pPr>
      <w:r w:rsidRPr="007B552F">
        <w:rPr>
          <w:rFonts w:ascii="Times New Roman" w:hAnsi="Times New Roman" w:cs="Times New Roman"/>
          <w:sz w:val="28"/>
          <w:szCs w:val="28"/>
        </w:rPr>
        <w:t xml:space="preserve">Метод проекций и начертательная геометрия. Изучаются центральное и параллельное проецирование, ортогональное проецирование, эпюр Монжа, задание точки, прямой, плоскости и многогранников на комплексном чертеже.  </w:t>
      </w:r>
    </w:p>
    <w:p w14:paraId="5A0642CA" w14:textId="001E2EB3" w:rsidR="007B552F" w:rsidRPr="007B552F" w:rsidRDefault="007B552F" w:rsidP="007B552F">
      <w:pPr>
        <w:jc w:val="both"/>
        <w:rPr>
          <w:rFonts w:ascii="Times New Roman" w:hAnsi="Times New Roman" w:cs="Times New Roman"/>
          <w:sz w:val="28"/>
          <w:szCs w:val="28"/>
        </w:rPr>
      </w:pPr>
      <w:r w:rsidRPr="007B552F">
        <w:rPr>
          <w:rFonts w:ascii="Times New Roman" w:hAnsi="Times New Roman" w:cs="Times New Roman"/>
          <w:sz w:val="28"/>
          <w:szCs w:val="28"/>
        </w:rPr>
        <w:t xml:space="preserve">Позиционные и метрические задачи. Связаны с определением взаимного положения геометрических объектов (например, пересечение прямых, плоскостей) и измерением расстояний и углов.  </w:t>
      </w:r>
    </w:p>
    <w:p w14:paraId="3D3D23F0" w14:textId="0A1E9A7C" w:rsidR="007B552F" w:rsidRPr="007B552F" w:rsidRDefault="007B552F" w:rsidP="007B552F">
      <w:pPr>
        <w:jc w:val="both"/>
        <w:rPr>
          <w:rFonts w:ascii="Times New Roman" w:hAnsi="Times New Roman" w:cs="Times New Roman"/>
          <w:sz w:val="28"/>
          <w:szCs w:val="28"/>
        </w:rPr>
      </w:pPr>
      <w:r w:rsidRPr="007B552F">
        <w:rPr>
          <w:rFonts w:ascii="Times New Roman" w:hAnsi="Times New Roman" w:cs="Times New Roman"/>
          <w:sz w:val="28"/>
          <w:szCs w:val="28"/>
        </w:rPr>
        <w:t xml:space="preserve">Аксонометрические проекции. Рассматриваются виды аксонометрических проекций (прямоугольная изометрия, прямоугольная </w:t>
      </w:r>
      <w:proofErr w:type="spellStart"/>
      <w:r w:rsidRPr="007B552F">
        <w:rPr>
          <w:rFonts w:ascii="Times New Roman" w:hAnsi="Times New Roman" w:cs="Times New Roman"/>
          <w:sz w:val="28"/>
          <w:szCs w:val="28"/>
        </w:rPr>
        <w:t>диметрия</w:t>
      </w:r>
      <w:proofErr w:type="spellEnd"/>
      <w:r w:rsidRPr="007B552F">
        <w:rPr>
          <w:rFonts w:ascii="Times New Roman" w:hAnsi="Times New Roman" w:cs="Times New Roman"/>
          <w:sz w:val="28"/>
          <w:szCs w:val="28"/>
        </w:rPr>
        <w:t xml:space="preserve">, косоугольная фронтальная изометрия и др.), построение осей, отдельных точек и окружностей в аксонометрии.  </w:t>
      </w:r>
    </w:p>
    <w:p w14:paraId="6D987EE2" w14:textId="0C1A5F02" w:rsidR="007B552F" w:rsidRPr="007B552F" w:rsidRDefault="007B552F" w:rsidP="007B552F">
      <w:pPr>
        <w:jc w:val="both"/>
        <w:rPr>
          <w:rFonts w:ascii="Times New Roman" w:hAnsi="Times New Roman" w:cs="Times New Roman"/>
          <w:sz w:val="28"/>
          <w:szCs w:val="28"/>
        </w:rPr>
      </w:pPr>
      <w:r w:rsidRPr="007B552F">
        <w:rPr>
          <w:rFonts w:ascii="Times New Roman" w:hAnsi="Times New Roman" w:cs="Times New Roman"/>
          <w:sz w:val="28"/>
          <w:szCs w:val="28"/>
        </w:rPr>
        <w:t xml:space="preserve">Пересечение геометрических тел плоскостями. Включает построение сечений призмы, цилиндра, пирамиды и других тел.  </w:t>
      </w:r>
    </w:p>
    <w:p w14:paraId="0E4895FF" w14:textId="364377F6" w:rsidR="007B552F" w:rsidRPr="007B552F" w:rsidRDefault="007B552F" w:rsidP="007B552F">
      <w:pPr>
        <w:jc w:val="both"/>
        <w:rPr>
          <w:rFonts w:ascii="Times New Roman" w:hAnsi="Times New Roman" w:cs="Times New Roman"/>
          <w:sz w:val="28"/>
          <w:szCs w:val="28"/>
        </w:rPr>
      </w:pPr>
      <w:r w:rsidRPr="007B552F">
        <w:rPr>
          <w:rFonts w:ascii="Times New Roman" w:hAnsi="Times New Roman" w:cs="Times New Roman"/>
          <w:sz w:val="28"/>
          <w:szCs w:val="28"/>
        </w:rPr>
        <w:t xml:space="preserve">Машиностроительное черчение. Изучаются правила выполнения и оформления машиностроительных чертежей, включая резьбовые соединения, крепёжные изделия (болты, шпильки, гайки), зубчатые колёса и передачи, обозначения шероховатости поверхностей, разрезы и сечения.  </w:t>
      </w:r>
    </w:p>
    <w:p w14:paraId="11AF0EB6" w14:textId="7C9F1CF9" w:rsidR="007B552F" w:rsidRPr="007B552F" w:rsidRDefault="007B552F" w:rsidP="007B552F">
      <w:pPr>
        <w:jc w:val="both"/>
        <w:rPr>
          <w:rFonts w:ascii="Times New Roman" w:hAnsi="Times New Roman" w:cs="Times New Roman"/>
          <w:sz w:val="28"/>
          <w:szCs w:val="28"/>
        </w:rPr>
      </w:pPr>
      <w:r w:rsidRPr="007B552F">
        <w:rPr>
          <w:rFonts w:ascii="Times New Roman" w:hAnsi="Times New Roman" w:cs="Times New Roman"/>
          <w:sz w:val="28"/>
          <w:szCs w:val="28"/>
        </w:rPr>
        <w:t xml:space="preserve">Эскизы. Эскиз — выполненный от руки рабочий чертёж детали. Изучаются его особенности, порядок выполнения, соблюдение пропорциональности элементов при отсутствии строгого соблюдения масштаба. </w:t>
      </w:r>
    </w:p>
    <w:p w14:paraId="03D42301" w14:textId="77777777" w:rsidR="007B552F" w:rsidRPr="007B552F" w:rsidRDefault="007B552F" w:rsidP="007B552F">
      <w:pPr>
        <w:jc w:val="both"/>
        <w:rPr>
          <w:rFonts w:ascii="Times New Roman" w:hAnsi="Times New Roman" w:cs="Times New Roman"/>
          <w:sz w:val="28"/>
          <w:szCs w:val="28"/>
        </w:rPr>
      </w:pPr>
      <w:r w:rsidRPr="007B552F">
        <w:rPr>
          <w:rFonts w:ascii="Times New Roman" w:hAnsi="Times New Roman" w:cs="Times New Roman"/>
          <w:sz w:val="28"/>
          <w:szCs w:val="28"/>
        </w:rPr>
        <w:t>Технический рисунок. Наглядное изображение предмета, выполненное от руки на основе аксонометрических проекций. Используется для быстрого выражения технической идеи, передачи объёма и пропорций. </w:t>
      </w:r>
    </w:p>
    <w:p w14:paraId="64425B5B" w14:textId="77777777" w:rsidR="005A7421" w:rsidRDefault="005A7421"/>
    <w:sectPr w:rsidR="005A7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C41576"/>
    <w:multiLevelType w:val="multilevel"/>
    <w:tmpl w:val="2CB238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3971D8"/>
    <w:multiLevelType w:val="multilevel"/>
    <w:tmpl w:val="9B604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E7"/>
    <w:rsid w:val="001D41D9"/>
    <w:rsid w:val="00392FB5"/>
    <w:rsid w:val="005A7421"/>
    <w:rsid w:val="007B552F"/>
    <w:rsid w:val="00B6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E17D"/>
  <w15:chartTrackingRefBased/>
  <w15:docId w15:val="{CD0C66AC-B8A6-4697-83CB-F2A40418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listitem">
    <w:name w:val="futurismarkdown-listitem"/>
    <w:basedOn w:val="a"/>
    <w:rsid w:val="007B5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B552F"/>
    <w:rPr>
      <w:b/>
      <w:bCs/>
    </w:rPr>
  </w:style>
  <w:style w:type="character" w:styleId="a4">
    <w:name w:val="Hyperlink"/>
    <w:basedOn w:val="a0"/>
    <w:uiPriority w:val="99"/>
    <w:unhideWhenUsed/>
    <w:rsid w:val="007B55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3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8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2026-06-19T12:31:00Z</dcterms:created>
  <dcterms:modified xsi:type="dcterms:W3CDTF">2026-06-19T12:33:00Z</dcterms:modified>
</cp:coreProperties>
</file>