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ПОЛОЖЕНИЕ</w:t>
      </w:r>
      <w:r/>
    </w:p>
    <w:p>
      <w:pPr>
        <w:ind w:left="0" w:right="0" w:firstLine="709"/>
        <w:jc w:val="center"/>
        <w:spacing w:after="12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 Международном конкурсе краеведов, работающих с молодежью</w:t>
      </w:r>
      <w:r/>
    </w:p>
    <w:p>
      <w:pPr>
        <w:numPr>
          <w:ilvl w:val="0"/>
          <w:numId w:val="19"/>
        </w:numPr>
        <w:jc w:val="both"/>
        <w:spacing w:before="0" w:after="12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Основные положения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1.1. Организаторами конкурса краеведов, работающих с молодежью (далее – конкурс)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выступают Российское историческое общество и фонд «История Отечества» (далее – организаторы). Функции оргкомитета конкурса возлагаются на Правление фонда «История Отечества».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Цель конкурса: поддержка лучших практик преподавания и популяризации истории малой родины среди детей и молодежи до 18 лет.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1.3. Задачи конкурса:</w:t>
      </w:r>
      <w:r/>
    </w:p>
    <w:p>
      <w:pPr>
        <w:numPr>
          <w:ilvl w:val="0"/>
          <w:numId w:val="20"/>
        </w:numPr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выявление и поддержка краеведов, способствующих историческому просвещению и патриотическому воспитанию молодежи;</w:t>
      </w:r>
      <w:r/>
    </w:p>
    <w:p>
      <w:pPr>
        <w:numPr>
          <w:ilvl w:val="0"/>
          <w:numId w:val="20"/>
        </w:numPr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повышение интереса к локальной истории и историко-культурному наследию российских регионов в молодежной среде. 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1.4. К участию в конкурсе приглашаются учителя школ, педагоги дополнительного образования (в т.ч. Домов детского творчества, музыкальных школ, школ искусств), работники учреждений культуры, представители некоммерческого сектора. Предметом конкурсной оценки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являются достижения участников в области патриотического воспитания и исторического просвещения молодежи.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1.5. Приоритетная тематика конкурса: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«История и этнология родного края»;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«Культурная самобытность и наследие народов малой родины»;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«Памятники истории и культуры моего края»;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«Церковное краеведение»; 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«Экологическое краеведение»;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«Мой край – край трудовой доблести и славы»;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«Туристические тропы родного края»;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«Знаменитые земляки – деятели науки, культуры, искусства»;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«Археологическое наследие родного края».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1.6. Участие в конкурсе является бесплатным. По решению организаторов материалы участников могут быть размещены в публичном доступе в сети Интернет, а также в периодических печатных изданиях.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1.7.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Конкурс проводится: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– по 8 (восьми) федеральным округам РФ (Центральный, Северо-Западный, Южный, Северо-Кавказский, Приволжский, Уральский, Сибирский, Дальневосточный);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  на территории ДНР, ЛНР, Запорожской и Херсонской областей;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среди соотечественников, проживающих за рубежом, и иностранных граждан, изучающих русский язык, русскую историю и культуру.</w:t>
      </w:r>
      <w:r/>
    </w:p>
    <w:p>
      <w:pPr>
        <w:ind w:left="0" w:right="0" w:firstLine="709"/>
        <w:jc w:val="both"/>
        <w:spacing w:before="0" w:after="0" w:line="253" w:lineRule="atLeast"/>
        <w:tabs>
          <w:tab w:val="left" w:pos="131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1.8. По</w:t>
      </w:r>
      <w:r>
        <w:rPr>
          <w:rFonts w:ascii="Times New Roman" w:hAnsi="Times New Roman" w:eastAsia="Times New Roman" w:cs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</w:t>
      </w:r>
      <w:r>
        <w:rPr>
          <w:rFonts w:ascii="Times New Roman" w:hAnsi="Times New Roman" w:eastAsia="Times New Roman" w:cs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конкурсного отбора</w:t>
      </w:r>
      <w:r>
        <w:rPr>
          <w:rFonts w:ascii="Times New Roman" w:hAnsi="Times New Roman" w:eastAsia="Times New Roman" w:cs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каждого</w:t>
      </w:r>
      <w:r>
        <w:rPr>
          <w:rFonts w:ascii="Times New Roman" w:hAnsi="Times New Roman" w:eastAsia="Times New Roman" w:cs="Times New Roman"/>
          <w:color w:val="000000"/>
          <w:spacing w:val="-18"/>
          <w:sz w:val="28"/>
        </w:rPr>
        <w:t xml:space="preserve"> федерального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округа и участников из ДНР, ЛНР, Запорожской и Херсонской областей</w:t>
      </w:r>
      <w:r>
        <w:rPr>
          <w:rFonts w:ascii="Times New Roman" w:hAnsi="Times New Roman" w:eastAsia="Times New Roman" w:cs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определяются</w:t>
      </w:r>
      <w:r>
        <w:rPr>
          <w:rFonts w:ascii="Times New Roman" w:hAnsi="Times New Roman" w:eastAsia="Times New Roman" w:cs="Times New Roman"/>
          <w:color w:val="000000"/>
          <w:spacing w:val="-18"/>
          <w:sz w:val="28"/>
        </w:rPr>
        <w:t xml:space="preserve"> по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(три)</w:t>
      </w:r>
      <w:r>
        <w:rPr>
          <w:rFonts w:ascii="Times New Roman" w:hAnsi="Times New Roman" w:eastAsia="Times New Roman" w:cs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финалиста, между которыми распределяется призовой фонд, установленный организаторами Конкурса.</w:t>
      </w:r>
      <w:r/>
    </w:p>
    <w:p>
      <w:pPr>
        <w:ind w:left="0" w:right="0" w:firstLine="709"/>
        <w:jc w:val="both"/>
        <w:spacing w:before="0" w:after="0" w:line="253" w:lineRule="atLeast"/>
        <w:tabs>
          <w:tab w:val="left" w:pos="131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1.9. Установленный призовой фонд распределяется среди финалистов следующим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образом:</w:t>
      </w:r>
      <w:r/>
    </w:p>
    <w:p>
      <w:pPr>
        <w:numPr>
          <w:ilvl w:val="2"/>
          <w:numId w:val="21"/>
        </w:numPr>
        <w:jc w:val="both"/>
        <w:spacing w:before="0" w:after="0" w:line="253" w:lineRule="atLeast"/>
        <w:tabs>
          <w:tab w:val="left" w:pos="154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 место: 150 000 рублей </w:t>
      </w:r>
      <w:r/>
    </w:p>
    <w:p>
      <w:pPr>
        <w:numPr>
          <w:ilvl w:val="2"/>
          <w:numId w:val="21"/>
        </w:numPr>
        <w:jc w:val="both"/>
        <w:spacing w:before="0" w:after="0" w:line="253" w:lineRule="atLeast"/>
        <w:tabs>
          <w:tab w:val="left" w:pos="154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 место: 100 000 рублей</w:t>
      </w:r>
      <w:r/>
    </w:p>
    <w:p>
      <w:pPr>
        <w:numPr>
          <w:ilvl w:val="2"/>
          <w:numId w:val="21"/>
        </w:numPr>
        <w:jc w:val="both"/>
        <w:spacing w:before="0" w:after="0" w:line="253" w:lineRule="atLeast"/>
        <w:tabs>
          <w:tab w:val="left" w:pos="154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 место: 50 000 рублей</w:t>
      </w:r>
      <w:r/>
    </w:p>
    <w:p>
      <w:pPr>
        <w:numPr>
          <w:ilvl w:val="1"/>
          <w:numId w:val="22"/>
        </w:numPr>
        <w:jc w:val="both"/>
        <w:spacing w:before="0" w:after="0" w:line="253" w:lineRule="atLeast"/>
        <w:tabs>
          <w:tab w:val="left" w:pos="154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Прошедшие в финал Конкурса граждане РФ, проживающие за рубежом, и иностранные участники награждаются специальными призами.</w:t>
      </w:r>
      <w:r/>
    </w:p>
    <w:p>
      <w:pPr>
        <w:numPr>
          <w:ilvl w:val="1"/>
          <w:numId w:val="22"/>
        </w:numPr>
        <w:jc w:val="both"/>
        <w:spacing w:before="0" w:after="0" w:line="253" w:lineRule="atLeast"/>
        <w:tabs>
          <w:tab w:val="left" w:pos="154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необходимости правила распределения призового фонда могут быть изменены по решению организационного комитета Конкурса.</w:t>
      </w:r>
      <w:r/>
    </w:p>
    <w:p>
      <w:pPr>
        <w:numPr>
          <w:ilvl w:val="1"/>
          <w:numId w:val="22"/>
        </w:numPr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Церемония награждения победителей конкурса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состоится осенью 2024 года в рамках краеведческого фестиваля. Место проведения фестиваля определяется организаторами Конкурса. Все расходы по проезду, проживанию и питанию участников принимающая сторона берет на себя.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1.13. Положение о конкурсе и текущая информация о ходе его проведения размещаются на официальном сайте организаторов </w:t>
      </w:r>
      <w:hyperlink r:id="rId10" w:tooltip="https://kon-kraeved.historyrussia.org/" w:history="1">
        <w:r>
          <w:rPr>
            <w:rStyle w:val="907"/>
            <w:rFonts w:ascii="Times New Roman" w:hAnsi="Times New Roman" w:eastAsia="Times New Roman" w:cs="Times New Roman"/>
            <w:color w:val="0563c1"/>
            <w:sz w:val="28"/>
            <w:u w:val="none"/>
          </w:rPr>
          <w:t xml:space="preserve">https://kon-kraeved.historyrussia.org/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 в разделе «Конкурсы».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Порядок проведения конкурса</w:t>
      </w:r>
      <w:r/>
    </w:p>
    <w:p>
      <w:pPr>
        <w:numPr>
          <w:ilvl w:val="1"/>
          <w:numId w:val="23"/>
        </w:numPr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Конкурс проводится в три этапа.</w:t>
      </w:r>
      <w:r/>
    </w:p>
    <w:p>
      <w:pPr>
        <w:numPr>
          <w:ilvl w:val="2"/>
          <w:numId w:val="23"/>
        </w:numPr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В ходе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первого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(заочного)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этапа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участники заполняют опросные листы в электронной форме (Приложение 1), размещенной на официальном сайте организаторов на странице Конкурса </w:t>
      </w:r>
      <w:hyperlink r:id="rId11" w:tooltip="https://kon-kraeved.historyrussia.org/" w:history="1">
        <w:r>
          <w:rPr>
            <w:rStyle w:val="907"/>
            <w:rFonts w:ascii="Times New Roman" w:hAnsi="Times New Roman" w:eastAsia="Times New Roman" w:cs="Times New Roman"/>
            <w:color w:val="0563c1"/>
            <w:sz w:val="28"/>
            <w:u w:val="none"/>
          </w:rPr>
          <w:t xml:space="preserve">https://kon-kraeved.historyrussia.org/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 </w:t>
      </w:r>
      <w:r>
        <w:rPr>
          <w:rFonts w:ascii="Times New Roman" w:hAnsi="Times New Roman" w:eastAsia="Times New Roman" w:cs="Times New Roman"/>
          <w:color w:val="5b9bd5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 опросным листам участники прикрепляют электронные копии</w:t>
      </w:r>
      <w:r>
        <w:rPr>
          <w:rFonts w:ascii="Times New Roman" w:hAnsi="Times New Roman" w:eastAsia="Times New Roman" w:cs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материалов о своей деятельности</w:t>
      </w:r>
      <w:r>
        <w:rPr>
          <w:rFonts w:ascii="Times New Roman" w:hAnsi="Times New Roman" w:eastAsia="Times New Roman" w:cs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(или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указывают</w:t>
      </w:r>
      <w:r>
        <w:rPr>
          <w:rFonts w:ascii="Times New Roman" w:hAnsi="Times New Roman" w:eastAsia="Times New Roman" w:cs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интернет-ссылки</w:t>
      </w:r>
      <w:r>
        <w:rPr>
          <w:rFonts w:ascii="Times New Roman" w:hAnsi="Times New Roman" w:eastAsia="Times New Roman" w:cs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них), а также подписанное участником Согласие на обработку персональных данных (по форме Приложения 2) в формате .pdf или .jpeg. </w:t>
      </w:r>
      <w:r/>
    </w:p>
    <w:p>
      <w:pPr>
        <w:numPr>
          <w:ilvl w:val="2"/>
          <w:numId w:val="23"/>
        </w:numPr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Экспертизу конкурсных материалов участников</w:t>
      </w:r>
      <w:r>
        <w:rPr>
          <w:rFonts w:ascii="Times New Roman" w:hAnsi="Times New Roman" w:eastAsia="Times New Roman" w:cs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</w:t>
      </w:r>
      <w:r>
        <w:rPr>
          <w:rFonts w:ascii="Times New Roman" w:hAnsi="Times New Roman" w:eastAsia="Times New Roman" w:cs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экспертный</w:t>
      </w:r>
      <w:r>
        <w:rPr>
          <w:rFonts w:ascii="Times New Roman" w:hAnsi="Times New Roman" w:eastAsia="Times New Roman" w:cs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совет</w:t>
      </w:r>
      <w:r>
        <w:rPr>
          <w:rFonts w:ascii="Times New Roman" w:hAnsi="Times New Roman" w:eastAsia="Times New Roman" w:cs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Конкурса.</w:t>
      </w:r>
      <w:r/>
    </w:p>
    <w:p>
      <w:pPr>
        <w:numPr>
          <w:ilvl w:val="2"/>
          <w:numId w:val="23"/>
        </w:numPr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Участники, прошедшие во</w:t>
      </w:r>
      <w:r>
        <w:rPr>
          <w:rFonts w:ascii="Times New Roman" w:hAnsi="Times New Roman" w:eastAsia="Times New Roman" w:cs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второй</w:t>
      </w:r>
      <w:r>
        <w:rPr>
          <w:rFonts w:ascii="Times New Roman" w:hAnsi="Times New Roman" w:eastAsia="Times New Roman" w:cs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(заочный)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этап</w:t>
      </w:r>
      <w:r>
        <w:rPr>
          <w:rFonts w:ascii="Times New Roman" w:hAnsi="Times New Roman" w:eastAsia="Times New Roman" w:cs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Конкурса,</w:t>
      </w:r>
      <w:r>
        <w:rPr>
          <w:rFonts w:ascii="Times New Roman" w:hAnsi="Times New Roman" w:eastAsia="Times New Roman" w:cs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готовят видеоролик с рассказом о своей деятельности (до 10 минут).</w:t>
      </w:r>
      <w:r/>
    </w:p>
    <w:p>
      <w:pPr>
        <w:ind w:left="0" w:right="0" w:firstLine="708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видеоролике конкурсанты кратко представляют:</w:t>
      </w:r>
      <w:r/>
    </w:p>
    <w:p>
      <w:pPr>
        <w:ind w:left="0" w:right="0" w:firstLine="708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свою краеведческую деятельность, направленную на историческое просвещение и патриотическое воспитание детей и молодежи;</w:t>
      </w:r>
      <w:r/>
    </w:p>
    <w:p>
      <w:pPr>
        <w:ind w:left="0" w:right="0" w:firstLine="708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наиболее интересные краеведческие проекты (авторские разработки);</w:t>
      </w:r>
      <w:r/>
    </w:p>
    <w:p>
      <w:pPr>
        <w:ind w:left="0" w:right="0" w:firstLine="708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привлеченную молодежную аудиторию;</w:t>
      </w:r>
      <w:r/>
    </w:p>
    <w:p>
      <w:pPr>
        <w:ind w:left="0" w:right="0" w:firstLine="708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результаты и достижения.</w:t>
      </w:r>
      <w:r/>
    </w:p>
    <w:p>
      <w:pPr>
        <w:ind w:left="0" w:right="0" w:firstLine="708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Видеоролик размещается </w:t>
      </w:r>
      <w:r>
        <w:rPr>
          <w:rFonts w:ascii="Times New Roman" w:hAnsi="Times New Roman" w:eastAsia="Times New Roman" w:cs="Times New Roman"/>
          <w:color w:val="2a2a2a"/>
          <w:sz w:val="28"/>
        </w:rPr>
        <w:t xml:space="preserve">в видеохостинге </w:t>
      </w:r>
      <w:r>
        <w:rPr>
          <w:rFonts w:ascii="Times New Roman" w:hAnsi="Times New Roman" w:eastAsia="Times New Roman" w:cs="Times New Roman"/>
          <w:color w:val="222222"/>
          <w:sz w:val="28"/>
          <w:highlight w:val="white"/>
        </w:rPr>
        <w:t xml:space="preserve">YouTube,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ссылка на него представляется в экспертный совет конкурса. На основании результатов второго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</w:rPr>
        <w:t xml:space="preserve">конкурсного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этапа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экспертным советом определяются победители для участия в третьем (очном)</w:t>
      </w:r>
      <w:r>
        <w:rPr>
          <w:rFonts w:ascii="Times New Roman" w:hAnsi="Times New Roman" w:eastAsia="Times New Roman" w:cs="Times New Roman"/>
          <w:color w:val="000000"/>
          <w:spacing w:val="-2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этапе.</w:t>
      </w:r>
      <w:r/>
    </w:p>
    <w:p>
      <w:pPr>
        <w:numPr>
          <w:ilvl w:val="2"/>
          <w:numId w:val="23"/>
        </w:numPr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Третий (очный) этап конкурса проводится в формате краеведческого фестиваля. На этом этапе участники готовят материалы самопрезентации. В нее входят:</w:t>
      </w:r>
      <w:r/>
    </w:p>
    <w:p>
      <w:pPr>
        <w:ind w:left="0" w:right="0" w:firstLine="708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краткое сообщение о себе и своей краеведческой деятельности в молодежной среде;</w:t>
      </w:r>
      <w:r/>
    </w:p>
    <w:p>
      <w:pPr>
        <w:ind w:left="0" w:right="0" w:firstLine="708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развернутая презентация одного из проектов (авторской разработки) по приоритетной тематике конкурса.</w:t>
      </w:r>
      <w:r/>
    </w:p>
    <w:p>
      <w:pPr>
        <w:ind w:left="0" w:right="0" w:firstLine="708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предварительной оценки материалы направляются в экспертный совет конкурса в форме текста доклада, сопровождающей его презентации и других материалов представляемого проекта (авторской разработки). Текст доклада оформляется в соответствии с установленны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ми требованиями (формат doc., объем – до 10 тыс. знаков, шрифт – Times New Roman черного цвета, размер шрифта – 14, междустрочный интервал </w:t>
      </w:r>
      <w:r>
        <w:rPr>
          <w:rFonts w:ascii="Symbol" w:hAnsi="Symbol" w:eastAsia="Symbol" w:cs="Symbol"/>
          <w:color w:val="000000"/>
          <w:sz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1,5 строки, абзацный отступ – 1,25), презентация - в формате pptx. объемом до 25 слайдов. Дополнительные материалы могут быть представлены в виде файлов или ссылок на них.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ходе третьего (очного) этапа Конкурса участники демонстрируют экспертному совету навыки самопрезентации и представления результатов своей деятельности, участвуют в публичной модерируемой дискуссии. 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На основании оценки конкурсных материалов и выступлений участников третьего (очного) этапа конкурса экспертным советом подводятся итоги Конкурса и распределяются финальные места, соответственно I-е, II-е и III-е место в каждом федеральном округе; сред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конкурсантов из ДНР, ЛНР, Запорожской и Херсонской областей; среди соотечественников, проживающих за рубежом, и иностранных граждан.</w:t>
      </w:r>
      <w:r/>
    </w:p>
    <w:p>
      <w:pPr>
        <w:numPr>
          <w:ilvl w:val="1"/>
          <w:numId w:val="24"/>
        </w:numPr>
        <w:jc w:val="both"/>
        <w:spacing w:before="0" w:after="0"/>
        <w:tabs>
          <w:tab w:val="left" w:pos="851" w:leader="none"/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Прием заявок на конкурс осуществляется с 15 марта по 30 июня 2024 года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.Заявки, полученные 30 июня 2024 года позже 18.00 по московскому времени, к участию в конкурсе не допускаются. Список участников, прошедших во второй тур, публикуется не позднее 31 июля 2024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года наофициальном сайте организаторов </w:t>
      </w:r>
      <w:hyperlink r:id="rId12" w:tooltip="https://kon-kraeved.historyrussia.org/" w:history="1">
        <w:r>
          <w:rPr>
            <w:rStyle w:val="907"/>
            <w:rFonts w:ascii="Times New Roman" w:hAnsi="Times New Roman" w:eastAsia="Times New Roman" w:cs="Times New Roman"/>
            <w:color w:val="0563c1"/>
            <w:sz w:val="28"/>
            <w:u w:val="none"/>
          </w:rPr>
          <w:t xml:space="preserve">https://kon-kraeved.historyrussia.org/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 </w:t>
      </w:r>
      <w:r>
        <w:rPr>
          <w:rFonts w:ascii="Times New Roman" w:hAnsi="Times New Roman" w:eastAsia="Times New Roman" w:cs="Times New Roman"/>
          <w:color w:val="5b9bd5"/>
          <w:sz w:val="28"/>
        </w:rPr>
        <w:t xml:space="preserve"> </w:t>
      </w:r>
      <w:r/>
    </w:p>
    <w:p>
      <w:pPr>
        <w:numPr>
          <w:ilvl w:val="1"/>
          <w:numId w:val="24"/>
        </w:numPr>
        <w:jc w:val="both"/>
        <w:spacing w:before="0" w:after="0"/>
        <w:tabs>
          <w:tab w:val="left" w:pos="851" w:leader="none"/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Прием конкурсных материалов второго (заочного) этапа конкурса осуществляется с 01 по 16 августа 2024. Список участников, прошедших в третий тур, публикуется не позднее 12 сентября 2024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года наофициальном сайте организаторов </w:t>
      </w:r>
      <w:hyperlink r:id="rId13" w:tooltip="https://kon-kraeved.historyrussia.org/" w:history="1">
        <w:r>
          <w:rPr>
            <w:rStyle w:val="907"/>
            <w:rFonts w:ascii="Times New Roman" w:hAnsi="Times New Roman" w:eastAsia="Times New Roman" w:cs="Times New Roman"/>
            <w:color w:val="0563c1"/>
            <w:sz w:val="28"/>
            <w:u w:val="none"/>
          </w:rPr>
          <w:t xml:space="preserve">https://kon-kraeved.historyrussia.org/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 </w:t>
      </w:r>
      <w:r>
        <w:rPr>
          <w:rFonts w:ascii="Times New Roman" w:hAnsi="Times New Roman" w:eastAsia="Times New Roman" w:cs="Times New Roman"/>
          <w:color w:val="5b9bd5"/>
          <w:sz w:val="28"/>
        </w:rPr>
        <w:t xml:space="preserve"> </w:t>
      </w:r>
      <w:r/>
    </w:p>
    <w:p>
      <w:pPr>
        <w:numPr>
          <w:ilvl w:val="1"/>
          <w:numId w:val="24"/>
        </w:numPr>
        <w:jc w:val="both"/>
        <w:spacing w:before="0" w:after="0" w:line="253" w:lineRule="atLeast"/>
        <w:tabs>
          <w:tab w:val="left" w:pos="851" w:leader="none"/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Прием конкурсных материалов третьего (очного) этапа осуществляется с 13 сентября по 29 сентября 2024. Третий (очный) этап конкурса проводится в конце октября 2024 года в формате краеведческого фестиваля.</w:t>
      </w:r>
      <w:r/>
    </w:p>
    <w:p>
      <w:pPr>
        <w:numPr>
          <w:ilvl w:val="1"/>
          <w:numId w:val="24"/>
        </w:numPr>
        <w:jc w:val="both"/>
        <w:spacing w:before="0" w:after="0"/>
        <w:tabs>
          <w:tab w:val="left" w:pos="851" w:leader="none"/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Конкурсные материалы финалистов размещаются на официальном сайте организаторов </w:t>
      </w:r>
      <w:hyperlink r:id="rId14" w:tooltip="https://kon-kraeved.historyrussia.org/" w:history="1">
        <w:r>
          <w:rPr>
            <w:rStyle w:val="907"/>
            <w:rFonts w:ascii="Times New Roman" w:hAnsi="Times New Roman" w:eastAsia="Times New Roman" w:cs="Times New Roman"/>
            <w:color w:val="0563c1"/>
            <w:sz w:val="28"/>
            <w:u w:val="none"/>
          </w:rPr>
          <w:t xml:space="preserve">https://kon-kraeved.historyrussia.org/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 </w:t>
      </w:r>
      <w:r>
        <w:rPr>
          <w:rFonts w:ascii="Times New Roman" w:hAnsi="Times New Roman" w:eastAsia="Times New Roman" w:cs="Times New Roman"/>
          <w:color w:val="5b9bd5"/>
          <w:sz w:val="28"/>
        </w:rPr>
        <w:t xml:space="preserve"> 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странице Конкурса.</w:t>
      </w:r>
      <w:r/>
    </w:p>
    <w:p>
      <w:pPr>
        <w:numPr>
          <w:ilvl w:val="1"/>
          <w:numId w:val="24"/>
        </w:numPr>
        <w:jc w:val="both"/>
        <w:spacing w:before="0" w:after="0" w:line="253" w:lineRule="atLeast"/>
        <w:tabs>
          <w:tab w:val="left" w:pos="851" w:leader="none"/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Проезд, проживание и питание участников третьего (очного) этапа конкурса оплачивает принимающая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сторона.</w:t>
      </w:r>
      <w:r/>
    </w:p>
    <w:p>
      <w:pPr>
        <w:numPr>
          <w:ilvl w:val="1"/>
          <w:numId w:val="24"/>
        </w:numPr>
        <w:jc w:val="both"/>
        <w:spacing w:before="0" w:after="0" w:line="253" w:lineRule="atLeast"/>
        <w:tabs>
          <w:tab w:val="left" w:pos="851" w:leader="none"/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Финалисты Конкурса награждаются дипломами (соответственно занятым местам) на торжественной церемонии в рамках организованного краеведческого фестиваля. </w:t>
      </w:r>
      <w:r/>
    </w:p>
    <w:p>
      <w:pPr>
        <w:numPr>
          <w:ilvl w:val="1"/>
          <w:numId w:val="24"/>
        </w:numPr>
        <w:jc w:val="both"/>
        <w:spacing w:before="0" w:after="0" w:line="253" w:lineRule="atLeast"/>
        <w:tabs>
          <w:tab w:val="left" w:pos="851" w:leader="none"/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Участники, прошедшие во второй тур конкурса, награждаются электронными дипломами полуфиналиста, которые будут отправлены на указанную в заявке эл. почту.</w:t>
      </w:r>
      <w:r/>
    </w:p>
    <w:p>
      <w:pPr>
        <w:numPr>
          <w:ilvl w:val="1"/>
          <w:numId w:val="24"/>
        </w:numPr>
        <w:jc w:val="both"/>
        <w:spacing w:before="0" w:after="0" w:line="253" w:lineRule="atLeast"/>
        <w:tabs>
          <w:tab w:val="left" w:pos="851" w:leader="none"/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Всем конкурсантам направляются электронные Сертификаты.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36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Экспертная оценка</w:t>
      </w:r>
      <w:r/>
    </w:p>
    <w:p>
      <w:pPr>
        <w:numPr>
          <w:ilvl w:val="1"/>
          <w:numId w:val="25"/>
        </w:numPr>
        <w:jc w:val="both"/>
        <w:spacing w:before="0" w:after="0" w:line="253" w:lineRule="atLeast"/>
        <w:tabs>
          <w:tab w:val="left" w:pos="1402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Экспертную оценку материалов и выступлений участников конкурса осуществляет экспертный совет. Состав экспертного совета формируется Правлением фонда «История Отечества» из числа авторитетных представителей научного, краеведческого и педагогического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сообществ.</w:t>
      </w:r>
      <w:r/>
    </w:p>
    <w:p>
      <w:pPr>
        <w:numPr>
          <w:ilvl w:val="1"/>
          <w:numId w:val="25"/>
        </w:numPr>
        <w:jc w:val="both"/>
        <w:spacing w:before="0" w:after="0" w:line="253" w:lineRule="atLeast"/>
        <w:tabs>
          <w:tab w:val="left" w:pos="130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Экспертиза анкет участников конкурса, поступивших на первом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(заочном) этапе, осуществляется на основании следующих критериев:</w:t>
      </w:r>
      <w:r/>
    </w:p>
    <w:p>
      <w:pPr>
        <w:ind w:left="0" w:right="0" w:firstLine="708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соответствие историко-просветительской деятельности конкурсанта задачам исторического просвещения и патриотического воспитания молодого поколения;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уникальность методики работы конкурсанта с молодежью и ее эффективность;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результаты деятельности, включая достижения учеников / воспитанников конкурсанта;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предшествующие профессиональные достижения конкурсанта.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 На втором этапе конкурса участники представляют видеоролики о своей воспитательной, просветительской, образовательной деятельности среди детей и молодежи в области истории родного края. 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 Рекомендации и требования к видеороликам: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возможен самостоятельный выбор участником формата (жанра) видеоролика (интервью, репортаж, видеоклип и т.п.);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материал видеоролика может быть зафиксирован на цифровые фото-видео камеры и смонтирован любыми доступными техническими средствами;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ролик должен быть выполнен самостоятельно и представлен в формате МP4;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продолжительность записи видеоролика не должна превышать 10 минут;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участие автора в сюжете видеоролика обязательно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 Критерии оценки видеороликов: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соответствие требованиям, указанным в п. 2.1.2;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оригинальность подачи видеоматериала;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эстетичность представленного видеоматериала;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качество видеосъемки.</w:t>
      </w:r>
      <w:r/>
    </w:p>
    <w:p>
      <w:pPr>
        <w:numPr>
          <w:ilvl w:val="1"/>
          <w:numId w:val="25"/>
        </w:numPr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ходе третьего (финального) этапа конкурса участники публично представляют проекты (авторские разработки, методики) популяризации истории малой родины в молодежной среде.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Критерии оценки выступлений финалистов: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соответствие историко-просветительской работы задачам исторического просвещения и патриотического воспитания молодого поколения;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уникальность авторского подхода и методики ведения историко-просветительской работы в области краеведения;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эффективность историко-просветительской деятельности, ее охват и результаты;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творческая подача материала;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стиль выступления (высокая культура речи, лаконичность при сохранении логики выступления);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качество визуального представления информации.</w:t>
        <w:br w:type="page" w:clear="all"/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ind w:left="0" w:right="0" w:firstLine="0"/>
        <w:jc w:val="right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Приложение 1</w:t>
      </w:r>
      <w:r/>
    </w:p>
    <w:p>
      <w:pPr>
        <w:ind w:left="0" w:right="0" w:firstLine="0"/>
        <w:jc w:val="center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ОПРОСНЫЙ ЛИСТ</w:t>
      </w:r>
      <w:r/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участника конкурса краеведов, работающих с молодежью</w:t>
      </w:r>
      <w:r/>
    </w:p>
    <w:p>
      <w:pPr>
        <w:ind w:left="0" w:right="0" w:firstLine="0"/>
        <w:jc w:val="center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tbl>
      <w:tblPr>
        <w:tblStyle w:val="90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77"/>
        <w:gridCol w:w="5603"/>
        <w:gridCol w:w="27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Фамилия: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Имя: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Отчество: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E-Mail: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Телефон: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Дата рождения: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Субъект РФ: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Адрес проживания: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Место работы: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Должность: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Образование: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Ученая степень, научное звание (при наличии):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Награды и поощрения (государственные, ведомственные, общественные):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Материалы/ссылки на материалы о деятельности конкурсанта по историческому просвещению и патриотическому воспитанию детей и молодежи в области истории родного края за последние 3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Материалы/ссылки на материалы о достижениях учеников/воспитанников конкурсанта за последние 3 года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Ссылки на авторские публикации участника за последние 3 года по тематике конкурса (статьи, книги, брошюры и т.д.), разработанные и реализуемые краеведческие проекты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Публикации (отзывы) об участнике и его проектах (авторских разработках) в СМИ (в т.ч. материалы в Интернете)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</w:t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tbl>
      <w:tblPr>
        <w:tblStyle w:val="906"/>
        <w:tblW w:w="0" w:type="auto"/>
        <w:tblInd w:w="54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9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91" w:type="dxa"/>
            <w:vAlign w:val="top"/>
            <w:textDirection w:val="lrTb"/>
            <w:noWrap w:val="false"/>
          </w:tcPr>
          <w:p>
            <w:pPr>
              <w:ind w:left="-1559" w:right="0" w:firstLine="1559"/>
              <w:jc w:val="right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Приложение 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гр. Российской Федерации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      <wp:simplePos x="0" y="0"/>
                      <wp:positionH relativeFrom="column">
                        <wp:posOffset>-52365</wp:posOffset>
                      </wp:positionH>
                      <wp:positionV relativeFrom="paragraph">
                        <wp:posOffset>144270</wp:posOffset>
                      </wp:positionV>
                      <wp:extent cx="2609850" cy="0"/>
                      <wp:effectExtent l="3175" t="3175" r="3175" b="3175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26098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0" o:spid="_x0000_s0" style="position:absolute;left:0;text-align:left;z-index:9216;mso-wrap-distance-left:9.07pt;mso-wrap-distance-top:0.00pt;mso-wrap-distance-right:9.07pt;mso-wrap-distance-bottom:0.00pt;flip:y;visibility:visible;" from="-4.1pt,11.4pt" to="201.4pt,11.4pt" filled="f" strokecolor="#223962" strokeweight="0.50pt">
                      <v:stroke dashstyle="solid"/>
                    </v:line>
                  </w:pict>
                </mc:Fallback>
              </mc:AlternateConten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(Ф.И.О. полностью)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91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0" locked="0" layoutInCell="1" allowOverlap="1">
                      <wp:simplePos x="0" y="0"/>
                      <wp:positionH relativeFrom="column">
                        <wp:posOffset>-42840</wp:posOffset>
                      </wp:positionH>
                      <wp:positionV relativeFrom="paragraph">
                        <wp:posOffset>147104</wp:posOffset>
                      </wp:positionV>
                      <wp:extent cx="2124075" cy="0"/>
                      <wp:effectExtent l="3175" t="3175" r="3175" b="3175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1240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10240;mso-wrap-distance-left:9.07pt;mso-wrap-distance-top:0.00pt;mso-wrap-distance-right:9.07pt;mso-wrap-distance-bottom:0.00pt;visibility:visible;" from="-3.4pt,11.6pt" to="163.9pt,11.6pt" filled="f" strokecolor="#223962" strokeweight="0.50pt">
                      <v:stroke dashstyle="solid"/>
                    </v:line>
                  </w:pict>
                </mc:Fallback>
              </mc:AlternateContent>
            </w:r>
            <w:r>
              <w:t xml:space="preserve">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адрес: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91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4454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2288" behindDoc="0" locked="0" layoutInCell="1" allowOverlap="1">
                      <wp:simplePos x="0" y="0"/>
                      <wp:positionH relativeFrom="column">
                        <wp:posOffset>-52365</wp:posOffset>
                      </wp:positionH>
                      <wp:positionV relativeFrom="paragraph">
                        <wp:posOffset>133784</wp:posOffset>
                      </wp:positionV>
                      <wp:extent cx="2638425" cy="0"/>
                      <wp:effectExtent l="3175" t="3175" r="3175" b="3175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26384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" o:spid="_x0000_s2" style="position:absolute;left:0;text-align:left;z-index:12288;mso-wrap-distance-left:9.07pt;mso-wrap-distance-top:0.00pt;mso-wrap-distance-right:9.07pt;mso-wrap-distance-bottom:0.00pt;flip:y;visibility:visible;" from="-4.1pt,10.5pt" to="203.6pt,10.5pt" filled="f" strokecolor="#223962" strokeweight="0.50pt">
                      <v:stroke dashstyle="solid"/>
                    </v:line>
                  </w:pict>
                </mc:Fallback>
              </mc:AlternateConten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91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4336" behindDoc="0" locked="0" layoutInCell="1" allowOverlap="1">
                      <wp:simplePos x="0" y="0"/>
                      <wp:positionH relativeFrom="column">
                        <wp:posOffset>-61890</wp:posOffset>
                      </wp:positionH>
                      <wp:positionV relativeFrom="paragraph">
                        <wp:posOffset>134701</wp:posOffset>
                      </wp:positionV>
                      <wp:extent cx="1924050" cy="0"/>
                      <wp:effectExtent l="3175" t="3175" r="3175" b="3175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19240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3" o:spid="_x0000_s3" style="position:absolute;left:0;text-align:left;z-index:14336;mso-wrap-distance-left:9.07pt;mso-wrap-distance-top:0.00pt;mso-wrap-distance-right:9.07pt;mso-wrap-distance-bottom:0.00pt;visibility:visible;" from="-4.9pt,10.6pt" to="146.6pt,10.6pt" filled="f" strokecolor="#223962" strokeweight="0.50pt">
                      <v:stroke dashstyle="solid"/>
                    </v:line>
                  </w:pict>
                </mc:Fallback>
              </mc:AlternateContent>
            </w:r>
            <w:r/>
            <w:r/>
            <w:r>
              <w:t xml:space="preserve">                    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телефон: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91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1504" behindDoc="0" locked="0" layoutInCell="1" allowOverlap="1">
                      <wp:simplePos x="0" y="0"/>
                      <wp:positionH relativeFrom="column">
                        <wp:posOffset>-80940</wp:posOffset>
                      </wp:positionH>
                      <wp:positionV relativeFrom="paragraph">
                        <wp:posOffset>140431</wp:posOffset>
                      </wp:positionV>
                      <wp:extent cx="1866900" cy="0"/>
                      <wp:effectExtent l="3175" t="3175" r="3175" b="3175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18668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4" o:spid="_x0000_s4" style="position:absolute;left:0;text-align:left;z-index:21504;mso-wrap-distance-left:9.07pt;mso-wrap-distance-top:0.00pt;mso-wrap-distance-right:9.07pt;mso-wrap-distance-bottom:0.00pt;visibility:visible;" from="-6.4pt,11.1pt" to="140.6pt,11.1pt" filled="f" strokecolor="#223962" strokeweight="0.50pt">
                      <v:stroke dashstyle="solid"/>
                    </v:line>
                  </w:pict>
                </mc:Fallback>
              </mc:AlternateContent>
            </w:r>
            <w:r>
              <w:t xml:space="preserve">                                                          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эл. почта: </w:t>
            </w:r>
            <w:r/>
          </w:p>
        </w:tc>
      </w:tr>
    </w:tbl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СОГЛАСИЕ</w:t>
      </w:r>
      <w:r/>
    </w:p>
    <w:p>
      <w:pPr>
        <w:ind w:left="0" w:right="0" w:firstLine="0"/>
        <w:jc w:val="center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обработку персональных данных </w:t>
      </w:r>
      <w:r/>
    </w:p>
    <w:p>
      <w:pPr>
        <w:ind w:left="0" w:right="0" w:firstLine="540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 (Ф.И.О.) "___"_____ 20__ г. рождения, в соответствии со </w:t>
      </w:r>
      <w:hyperlink r:id="rId15" w:tooltip="https://login.consultant.ru/link/?req=doc&amp;base=LAW&amp;n=389193&amp;date=01.02.2022&amp;dst=100278&amp;field=134" w:history="1">
        <w:r>
          <w:rPr>
            <w:rStyle w:val="907"/>
            <w:rFonts w:ascii="Times New Roman" w:hAnsi="Times New Roman" w:eastAsia="Times New Roman" w:cs="Times New Roman"/>
            <w:color w:val="0563c1"/>
            <w:sz w:val="24"/>
            <w:u w:val="single"/>
          </w:rPr>
          <w:t xml:space="preserve">ст. 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27.07.2006 N 152-ФЗ "О персональных данных" дает согласие на обработку следующих персональных данных для участия в конкурсе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краеведов, работающих с молодежью (далее – Конкурс)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фамилия, имя, отчество;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пол;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дата рождения, место рождения;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данные о фактическом месте проживания;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данные о месте работы, должности, образовании;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адрес электронной почты, фотография;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другие персональные данные, необходимые для реализации целей по обработке, анализу и учету лиц, принимающих участие в Конкурсе, а также их уведомлению о новостях, изменениях условий Конкурса, результатах Конкурса и другой информации, предусмотренной Положе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нием о Конкурсе.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Согласие на использование персональных данных дано в следующих целях: участие в Конкурсе, в том числе при размещении на официальных информационных ресурсах организаторов Конкурса информации о Конкурсе, а также размещении в Интернете материалов о деятельнос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ти конкурсанта по направлению Конкурса, материалов конкурсных работ, работе экспертных комиссий и советов по отбору, передаче данных конкурсантов в случае их победы иным организациям для оформлении заявок на приобретение и приобретении билетов на проезд к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месту награждения и обратно, проживания в городе проведения мероприятия по награждению победителей, а также хранении этих данных на электронных носителях.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 проинформирован, что Фонд (оператор)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Данное согласие действует до достижения целей обработки персональных данных или в течение срока хранения информации.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Данное согласие может быть отозвано в любой момент по моему письменному заявлению.</w:t>
      </w:r>
      <w:r/>
    </w:p>
    <w:p>
      <w:pPr>
        <w:ind w:left="0" w:right="0" w:firstLine="567"/>
        <w:jc w:val="both"/>
        <w:spacing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 подтверждаю, что, давая такое согласие, действую по собственной воле и в своих интересах.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"___"___________ 20__ г.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right"/>
        <w:spacing w:before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 (подпись)/________________________ (Ф.И.О.)</w:t>
      </w:r>
      <w:r/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57545140"/>
      <w:docPartObj>
        <w:docPartGallery w:val="Page Numbers (Bottom of Page)"/>
        <w:docPartUnique w:val="true"/>
      </w:docPartObj>
      <w:rPr/>
    </w:sdtPr>
    <w:sdtContent>
      <w:p>
        <w:pPr>
          <w:pStyle w:val="9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2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2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3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8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9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10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15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168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8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suff w:val="tab"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28" w:hanging="4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" w:hanging="490"/>
      </w:pPr>
      <w:rPr>
        <w:rFonts w:hint="default" w:ascii="Times New Roman" w:hAnsi="Times New Roman" w:eastAsia="Times New Roman" w:cs="Times New Roman"/>
        <w:sz w:val="28"/>
        <w:szCs w:val="28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49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16" w:hanging="49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48" w:hanging="49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80" w:hanging="49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12" w:hanging="49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44" w:hanging="49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76" w:hanging="49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" w:hanging="707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707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707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16" w:hanging="70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48" w:hanging="70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80" w:hanging="70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12" w:hanging="70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44" w:hanging="70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76" w:hanging="707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28" w:hanging="60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" w:hanging="608"/>
      </w:pPr>
      <w:rPr>
        <w:rFonts w:hint="default" w:ascii="Times New Roman" w:hAnsi="Times New Roman" w:eastAsia="Times New Roman" w:cs="Times New Roman"/>
        <w:sz w:val="28"/>
        <w:szCs w:val="28"/>
      </w:rPr>
    </w:lvl>
    <w:lvl w:ilvl="2">
      <w:start w:val="1"/>
      <w:numFmt w:val="bullet"/>
      <w:isLgl w:val="false"/>
      <w:suff w:val="tab"/>
      <w:lvlText w:val="-"/>
      <w:lvlJc w:val="left"/>
      <w:pPr>
        <w:ind w:left="1544" w:hanging="544"/>
      </w:pPr>
      <w:rPr>
        <w:rFonts w:hint="default" w:ascii="Times New Roman" w:hAnsi="Times New Roman" w:eastAsia="Times New Roman" w:cs="Times New Roman"/>
        <w:sz w:val="28"/>
        <w:szCs w:val="28"/>
      </w:rPr>
    </w:lvl>
    <w:lvl w:ilvl="3">
      <w:start w:val="1"/>
      <w:numFmt w:val="bullet"/>
      <w:isLgl w:val="false"/>
      <w:suff w:val="tab"/>
      <w:lvlText w:val="•"/>
      <w:lvlJc w:val="left"/>
      <w:pPr>
        <w:ind w:left="3517" w:hanging="54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506" w:hanging="54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95" w:hanging="54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4" w:hanging="54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473" w:hanging="54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462" w:hanging="544"/>
      </w:pPr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13" w:hanging="5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" w:hanging="590"/>
      </w:pPr>
      <w:rPr>
        <w:rFonts w:hint="default" w:ascii="Times New Roman" w:hAnsi="Times New Roman" w:eastAsia="Times New Roman" w:cs="Times New Roman"/>
        <w:sz w:val="28"/>
        <w:szCs w:val="28"/>
      </w:rPr>
    </w:lvl>
    <w:lvl w:ilvl="2">
      <w:start w:val="1"/>
      <w:numFmt w:val="bullet"/>
      <w:isLgl w:val="false"/>
      <w:suff w:val="tab"/>
      <w:lvlText w:val="-"/>
      <w:lvlJc w:val="left"/>
      <w:pPr>
        <w:ind w:left="2113" w:hanging="584"/>
      </w:pPr>
      <w:rPr>
        <w:rFonts w:hint="default" w:ascii="Times New Roman" w:hAnsi="Times New Roman" w:eastAsia="Times New Roman" w:cs="Times New Roman"/>
        <w:sz w:val="28"/>
        <w:szCs w:val="28"/>
      </w:rPr>
    </w:lvl>
    <w:lvl w:ilvl="3">
      <w:start w:val="1"/>
      <w:numFmt w:val="bullet"/>
      <w:isLgl w:val="false"/>
      <w:suff w:val="tab"/>
      <w:lvlText w:val="•"/>
      <w:lvlJc w:val="left"/>
      <w:pPr>
        <w:ind w:left="3282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05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27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50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72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95" w:hanging="584"/>
      </w:pPr>
      <w:rPr>
        <w:rFonts w:hint="default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0"/>
      <w:numFmt w:val="decimal"/>
      <w:isLgl w:val="false"/>
      <w:suff w:val="tab"/>
      <w:lvlText w:val="%1.%2"/>
      <w:lvlJc w:val="left"/>
      <w:pPr>
        <w:ind w:left="1305" w:hanging="58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28" w:hanging="608"/>
      </w:pPr>
    </w:lvl>
    <w:lvl w:ilvl="1">
      <w:start w:val="1"/>
      <w:numFmt w:val="decimal"/>
      <w:isLgl w:val="false"/>
      <w:suff w:val="tab"/>
      <w:lvlText w:val="%1.%2."/>
      <w:lvlJc w:val="left"/>
      <w:pPr>
        <w:ind w:left="128" w:hanging="608"/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1544" w:hanging="544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•"/>
      <w:lvlJc w:val="left"/>
      <w:pPr>
        <w:ind w:left="3517" w:hanging="544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•"/>
      <w:lvlJc w:val="left"/>
      <w:pPr>
        <w:ind w:left="4506" w:hanging="544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•"/>
      <w:lvlJc w:val="left"/>
      <w:pPr>
        <w:ind w:left="5495" w:hanging="544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•"/>
      <w:lvlJc w:val="left"/>
      <w:pPr>
        <w:ind w:left="6484" w:hanging="544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•"/>
      <w:lvlJc w:val="left"/>
      <w:pPr>
        <w:ind w:left="7473" w:hanging="544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•"/>
      <w:lvlJc w:val="left"/>
      <w:pPr>
        <w:ind w:left="8462" w:hanging="544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0"/>
      <w:numFmt w:val="decimal"/>
      <w:isLgl w:val="false"/>
      <w:suff w:val="tab"/>
      <w:lvlText w:val="%1.%2."/>
      <w:lvlJc w:val="left"/>
      <w:pPr>
        <w:ind w:left="2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-2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-3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-8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-9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-10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15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1680" w:hanging="216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6"/>
  </w:num>
  <w:num w:numId="5">
    <w:abstractNumId w:val="17"/>
  </w:num>
  <w:num w:numId="6">
    <w:abstractNumId w:val="12"/>
  </w:num>
  <w:num w:numId="7">
    <w:abstractNumId w:val="11"/>
  </w:num>
  <w:num w:numId="8">
    <w:abstractNumId w:val="7"/>
  </w:num>
  <w:num w:numId="9">
    <w:abstractNumId w:val="8"/>
  </w:num>
  <w:num w:numId="10">
    <w:abstractNumId w:val="13"/>
  </w:num>
  <w:num w:numId="11">
    <w:abstractNumId w:val="1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10"/>
  </w:num>
  <w:num w:numId="17">
    <w:abstractNumId w:val="6"/>
  </w:num>
  <w:num w:numId="18">
    <w:abstractNumId w:val="2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1"/>
    <w:next w:val="901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basedOn w:val="902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1"/>
    <w:next w:val="901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basedOn w:val="902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1"/>
    <w:next w:val="901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basedOn w:val="902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1"/>
    <w:next w:val="901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basedOn w:val="902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1"/>
    <w:next w:val="901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basedOn w:val="902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1"/>
    <w:next w:val="901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basedOn w:val="902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1"/>
    <w:next w:val="901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basedOn w:val="902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1"/>
    <w:next w:val="901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basedOn w:val="902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1"/>
    <w:next w:val="901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basedOn w:val="902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No Spacing"/>
    <w:uiPriority w:val="1"/>
    <w:qFormat/>
    <w:pPr>
      <w:spacing w:before="0" w:after="0" w:line="240" w:lineRule="auto"/>
    </w:pPr>
  </w:style>
  <w:style w:type="paragraph" w:styleId="749">
    <w:name w:val="Title"/>
    <w:basedOn w:val="901"/>
    <w:next w:val="901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basedOn w:val="902"/>
    <w:link w:val="749"/>
    <w:uiPriority w:val="10"/>
    <w:rPr>
      <w:sz w:val="48"/>
      <w:szCs w:val="48"/>
    </w:rPr>
  </w:style>
  <w:style w:type="paragraph" w:styleId="751">
    <w:name w:val="Subtitle"/>
    <w:basedOn w:val="901"/>
    <w:next w:val="901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basedOn w:val="902"/>
    <w:link w:val="751"/>
    <w:uiPriority w:val="11"/>
    <w:rPr>
      <w:sz w:val="24"/>
      <w:szCs w:val="24"/>
    </w:rPr>
  </w:style>
  <w:style w:type="paragraph" w:styleId="753">
    <w:name w:val="Quote"/>
    <w:basedOn w:val="901"/>
    <w:next w:val="901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1"/>
    <w:next w:val="901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character" w:styleId="757">
    <w:name w:val="Header Char"/>
    <w:basedOn w:val="902"/>
    <w:link w:val="910"/>
    <w:uiPriority w:val="99"/>
  </w:style>
  <w:style w:type="character" w:styleId="758">
    <w:name w:val="Footer Char"/>
    <w:basedOn w:val="902"/>
    <w:link w:val="912"/>
    <w:uiPriority w:val="99"/>
  </w:style>
  <w:style w:type="paragraph" w:styleId="759">
    <w:name w:val="Caption"/>
    <w:basedOn w:val="901"/>
    <w:next w:val="9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912"/>
    <w:uiPriority w:val="99"/>
  </w:style>
  <w:style w:type="table" w:styleId="761">
    <w:name w:val="Table Grid Light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60">
    <w:name w:val="List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1">
    <w:name w:val="List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2">
    <w:name w:val="List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3">
    <w:name w:val="List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64">
    <w:name w:val="List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5">
    <w:name w:val="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7">
    <w:name w:val="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8">
    <w:name w:val="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9">
    <w:name w:val="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0">
    <w:name w:val="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1">
    <w:name w:val="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2">
    <w:name w:val="Bordered &amp; 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74">
    <w:name w:val="Bordered &amp; 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5">
    <w:name w:val="Bordered &amp; 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6">
    <w:name w:val="Bordered &amp; 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7">
    <w:name w:val="Bordered &amp; 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8">
    <w:name w:val="Bordered &amp; 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9">
    <w:name w:val="Bordered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Footnote Text Char"/>
    <w:link w:val="914"/>
    <w:uiPriority w:val="99"/>
    <w:rPr>
      <w:sz w:val="18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basedOn w:val="902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qFormat/>
  </w:style>
  <w:style w:type="character" w:styleId="902" w:default="1">
    <w:name w:val="Default Paragraph Font"/>
    <w:uiPriority w:val="1"/>
    <w:semiHidden/>
    <w:unhideWhenUsed/>
  </w:style>
  <w:style w:type="table" w:styleId="9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4" w:default="1">
    <w:name w:val="No List"/>
    <w:uiPriority w:val="99"/>
    <w:semiHidden/>
    <w:unhideWhenUsed/>
  </w:style>
  <w:style w:type="paragraph" w:styleId="905">
    <w:name w:val="List Paragraph"/>
    <w:basedOn w:val="901"/>
    <w:uiPriority w:val="34"/>
    <w:qFormat/>
    <w:pPr>
      <w:contextualSpacing/>
      <w:ind w:left="720"/>
    </w:pPr>
  </w:style>
  <w:style w:type="table" w:styleId="906">
    <w:name w:val="Table Grid"/>
    <w:basedOn w:val="90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7">
    <w:name w:val="Hyperlink"/>
    <w:basedOn w:val="902"/>
    <w:uiPriority w:val="99"/>
    <w:unhideWhenUsed/>
    <w:rPr>
      <w:color w:val="0000ff"/>
      <w:u w:val="single"/>
    </w:rPr>
  </w:style>
  <w:style w:type="paragraph" w:styleId="908">
    <w:name w:val="Balloon Text"/>
    <w:basedOn w:val="901"/>
    <w:link w:val="90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9" w:customStyle="1">
    <w:name w:val="Текст выноски Знак"/>
    <w:basedOn w:val="902"/>
    <w:link w:val="908"/>
    <w:uiPriority w:val="99"/>
    <w:semiHidden/>
    <w:rPr>
      <w:rFonts w:ascii="Segoe UI" w:hAnsi="Segoe UI" w:cs="Segoe UI"/>
      <w:sz w:val="18"/>
      <w:szCs w:val="18"/>
    </w:rPr>
  </w:style>
  <w:style w:type="paragraph" w:styleId="910">
    <w:name w:val="Header"/>
    <w:basedOn w:val="901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Верхний колонтитул Знак"/>
    <w:basedOn w:val="902"/>
    <w:link w:val="910"/>
    <w:uiPriority w:val="99"/>
  </w:style>
  <w:style w:type="paragraph" w:styleId="912">
    <w:name w:val="Footer"/>
    <w:basedOn w:val="901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Нижний колонтитул Знак"/>
    <w:basedOn w:val="902"/>
    <w:link w:val="912"/>
    <w:uiPriority w:val="99"/>
  </w:style>
  <w:style w:type="paragraph" w:styleId="914">
    <w:name w:val="footnote text"/>
    <w:basedOn w:val="901"/>
    <w:link w:val="91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5" w:customStyle="1">
    <w:name w:val="Текст сноски Знак"/>
    <w:basedOn w:val="902"/>
    <w:link w:val="914"/>
    <w:uiPriority w:val="99"/>
    <w:semiHidden/>
    <w:rPr>
      <w:sz w:val="20"/>
      <w:szCs w:val="20"/>
    </w:rPr>
  </w:style>
  <w:style w:type="character" w:styleId="916">
    <w:name w:val="footnote reference"/>
    <w:basedOn w:val="902"/>
    <w:uiPriority w:val="99"/>
    <w:semiHidden/>
    <w:unhideWhenUsed/>
    <w:rPr>
      <w:vertAlign w:val="superscript"/>
    </w:rPr>
  </w:style>
  <w:style w:type="paragraph" w:styleId="917">
    <w:name w:val="Body Text"/>
    <w:basedOn w:val="901"/>
    <w:link w:val="918"/>
    <w:uiPriority w:val="1"/>
    <w:qFormat/>
    <w:pPr>
      <w:ind w:left="128" w:firstLine="709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918" w:customStyle="1">
    <w:name w:val="Основной текст Знак"/>
    <w:basedOn w:val="902"/>
    <w:link w:val="917"/>
    <w:uiPriority w:val="1"/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919">
    <w:name w:val="annotation reference"/>
    <w:basedOn w:val="902"/>
    <w:uiPriority w:val="99"/>
    <w:semiHidden/>
    <w:unhideWhenUsed/>
    <w:rPr>
      <w:sz w:val="16"/>
      <w:szCs w:val="16"/>
    </w:rPr>
  </w:style>
  <w:style w:type="paragraph" w:styleId="920">
    <w:name w:val="annotation text"/>
    <w:basedOn w:val="901"/>
    <w:link w:val="92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1" w:customStyle="1">
    <w:name w:val="Текст примечания Знак"/>
    <w:basedOn w:val="902"/>
    <w:link w:val="920"/>
    <w:uiPriority w:val="99"/>
    <w:semiHidden/>
    <w:rPr>
      <w:sz w:val="20"/>
      <w:szCs w:val="20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rPr>
      <w:b/>
      <w:bCs/>
    </w:rPr>
  </w:style>
  <w:style w:type="character" w:styleId="923" w:customStyle="1">
    <w:name w:val="Тема примечания Знак"/>
    <w:basedOn w:val="921"/>
    <w:link w:val="922"/>
    <w:uiPriority w:val="99"/>
    <w:semiHidden/>
    <w:rPr>
      <w:b/>
      <w:bCs/>
      <w:sz w:val="20"/>
      <w:szCs w:val="20"/>
    </w:rPr>
  </w:style>
  <w:style w:type="character" w:styleId="924">
    <w:name w:val="Unresolved Mention"/>
    <w:basedOn w:val="902"/>
    <w:uiPriority w:val="99"/>
    <w:semiHidden/>
    <w:unhideWhenUsed/>
    <w:rPr>
      <w:color w:val="605e5c"/>
      <w:shd w:val="clear" w:color="auto" w:fill="e1dfdd"/>
    </w:rPr>
  </w:style>
  <w:style w:type="character" w:styleId="925">
    <w:name w:val="FollowedHyperlink"/>
    <w:basedOn w:val="902"/>
    <w:uiPriority w:val="99"/>
    <w:semiHidden/>
    <w:unhideWhenUsed/>
    <w:rPr>
      <w:color w:val="954f72" w:themeColor="followedHyperlink"/>
      <w:u w:val="single"/>
    </w:rPr>
  </w:style>
  <w:style w:type="paragraph" w:styleId="926">
    <w:name w:val="Normal (Web)"/>
    <w:basedOn w:val="90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7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kon-kraeved.historyrussia.org/" TargetMode="External"/><Relationship Id="rId11" Type="http://schemas.openxmlformats.org/officeDocument/2006/relationships/hyperlink" Target="https://kon-kraeved.historyrussia.org/" TargetMode="External"/><Relationship Id="rId12" Type="http://schemas.openxmlformats.org/officeDocument/2006/relationships/hyperlink" Target="https://kon-kraeved.historyrussia.org/" TargetMode="External"/><Relationship Id="rId13" Type="http://schemas.openxmlformats.org/officeDocument/2006/relationships/hyperlink" Target="https://kon-kraeved.historyrussia.org/" TargetMode="External"/><Relationship Id="rId14" Type="http://schemas.openxmlformats.org/officeDocument/2006/relationships/hyperlink" Target="https://kon-kraeved.historyrussia.org/" TargetMode="External"/><Relationship Id="rId15" Type="http://schemas.openxmlformats.org/officeDocument/2006/relationships/hyperlink" Target="https://login.consultant.ru/link/?req=doc&amp;base=LAW&amp;n=389193&amp;date=01.02.2022&amp;dst=100278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Антоненко</dc:creator>
  <cp:keywords/>
  <dc:description/>
  <cp:lastModifiedBy>Наталия Панасенко</cp:lastModifiedBy>
  <cp:revision>43</cp:revision>
  <dcterms:created xsi:type="dcterms:W3CDTF">2022-02-02T10:48:00Z</dcterms:created>
  <dcterms:modified xsi:type="dcterms:W3CDTF">2024-02-21T09:24:58Z</dcterms:modified>
</cp:coreProperties>
</file>