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D4" w:rsidRPr="00E86CD4" w:rsidRDefault="00E86CD4" w:rsidP="00E86CD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54545"/>
          <w:sz w:val="45"/>
          <w:szCs w:val="45"/>
          <w:lang w:eastAsia="ru-RU"/>
        </w:rPr>
      </w:pPr>
      <w:r w:rsidRPr="00E86CD4">
        <w:rPr>
          <w:rFonts w:ascii="Arial" w:eastAsia="Times New Roman" w:hAnsi="Arial" w:cs="Arial"/>
          <w:color w:val="454545"/>
          <w:sz w:val="45"/>
          <w:szCs w:val="45"/>
          <w:lang w:eastAsia="ru-RU"/>
        </w:rPr>
        <w:t>Методические рекомендации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Методические рекомендации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 (далее – методические рекомендации) разработаны в соответствии с пунктом 8 приказа № 88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Минкомсвязи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 27 февраля 2018 года «Об утверждении плана мероприятий по реализации Концепции информационной безопасности детей на 2018-2020 годы».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Методические рекомендации направлены на организацию преподавания основ информационной безопасности в общеобразовательных организациях Российской Федерации.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Методические рекомендации разработаны Временной комиссией Совета Федерации по развитию информационного общества совместно с ФСБ России,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Минобрнауки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России,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Минкомсвязи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России,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Роскомнадзором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, МЧС России и Минздравом России.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Задачи методических рекомендаций: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Оказание методической поддержки педагогических работников и сотрудников образовательных организаций России с целью организации обучения детей и их родителей (законных представителей) информационной безопасности;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   Использование современных технологий и методик в организации обучения детей, в частности в рамках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межпредметного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обучения, внеурочной деятельности и других форм обучения;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   Повышение уровня информационной грамотности педагогических работников и сотрудников администрации общеобразовательных организаций Российской Федерации в части тематических положений приказа Министерства труда и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социальнои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̆ защиты РФ от 18 октября 2013 г. N 544н</w:t>
      </w:r>
      <w:proofErr w:type="gram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"О</w:t>
      </w:r>
      <w:proofErr w:type="gram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учитель)", ФГОС ООО, ФГОС НОО и ФГОС СОО;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Оказать методическую помощь администрациям субъектов Российской Федерации, органам местного самоуправления и администрациям образовательных организаций в организации обучения детей, их родителей (законных представителей) и педагогических работников информационной безопасности;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Формирование тем и вопросов по вопросам информационной безопасности для включения в тематические учебники, учебные пособия и другие учебно-методические материалы.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Методические рекомендации направлены на организацию </w:t>
      </w:r>
      <w:proofErr w:type="gram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обучения детей по</w:t>
      </w:r>
      <w:proofErr w:type="gram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следующим направлениям: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   Организация обучения в рамках действующих учебных предметов </w:t>
      </w:r>
      <w:proofErr w:type="gram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и(</w:t>
      </w:r>
      <w:proofErr w:type="gram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или) использования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межпредметного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обучения;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Организация обучения в рамках части основной образовательной программы, формируемой участниками образовательного процесса, включая организацию отдельных учебных предметов, учебных курсов и внеурочную деятельность;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lastRenderedPageBreak/>
        <w:t>   Организация обучения в рамках дополнительного образования.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Методические рекомендации ориентированы на следующие аудитории (далее - педагогические работники):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Учителя, преподаватели и классные руководители;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Сотрудники администрации образовательных организаций по учебно-воспитательной работе, по воспитательной работе и безопасности образовательного процесса и обучающихся;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Ответственные лица в штате образовательных организаций в части психологического и воспитательного взаимодействия с обучающимися и педагогами (педагоги-организаторы, психологи, методисты и другие сотрудники образовательных организаций);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Ответственные лица в штате образовательных организаций в части дополнительного образования обучающихся и организации внеурочной деятельности.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Кроме этого, данные методические рекомендации могут быть использованы: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администрациями учреждений для детей-сирот и детей, оставшихся без попечения родителей;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организациями дополнительного образования;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профессиональными образовательными организациями;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и другими организациями, осуществляющими образовательную деятельность для несовершеннолетних обучающихся.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Методические рекомендации содержат общие представления о сферах безопасности в информационном пространстве и мерах, которые реализуются в образовательной среде для обеспечения информационной безопасности обучающихся.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Методические рекомендации разработаны по методологии международного исследовательского проекта Еврокомиссии «EU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Kids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Online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II» (2010-11 гг.), согласно которой риски (опасности) по данной классификации разделяются на четыре типа: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контентные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, коммуникационные, электронные (технические) и потребительские. Данная методология была использована при формировании заданий и продемонстрировала эффективность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квеста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по цифровой грамотности «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Сетевичок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», проводимого на площадке Временной комиссии Совета Федерации по развитию информационного общества с 2014 года в рамках Единого урока по безопасности в сети «Интернет».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Методические рекомендации имеют следующую структуру: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Раздел «Актуальность информационной безопасности детей» направлен на ознакомление педагогических работников с основными причинами актуальности информационной безопасности детей, действующим законодательством и положениями нормативно-правовых актов, затрагивающих данную сферу;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Раздел «Основные аспекты информационной безопасности» содержит описание всех аспектов информационной безопасности, включающих теоретический и практический анализ рисков по информационным, потребительским, техническим и коммуникативным аспектам информационной безопасности, и некоторые вопросы обеспечения информационной безопасности детей для родителей (законных представителей);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   Раздел «Организация обучения детей и родителей (законных представителей)» направлен на предоставление педагогическим работникам и сотрудникам образовательных организаций </w:t>
      </w:r>
      <w:proofErr w:type="gram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информации</w:t>
      </w:r>
      <w:proofErr w:type="gram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о различных механизмах организации обучения обучающихся и их родителей (законных представителей);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   Раздел «Организация организационно-административных мероприятий администрациями субъектов Российской Федерации, органами местного самоуправления и образовательными организациями по реализации методических рекомендаций» содержит перечень необходимых мер, которые могут быть реализованы администрациями субъектов Российской Федерации, </w:t>
      </w: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lastRenderedPageBreak/>
        <w:t>органами местного самоуправления и образовательными организациями в целях реализации данных методических рекомендаций;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Раздел «Организационно-административные мероприятия Временной комиссии Совета Федерации по развитию информационного общества» содержит перечень мер, реализуемых Временной комиссией Совета Федерации по развитию информационного общества в целях реализации данных методических рекомендаций, и порядок актуализации и обновления данных методических рекомендаций.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В приложении к методическим рекомендациям представлен перечень источников, используемых при подготовке методических рекомендаций, и перечень рекомендуемых сайтов в сети «Интернет» для использования заинтересованными лицами и организациями.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Методические рекомендации разработаны на основе: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материалов Федерального государственного автономного образовательного учреждения дополнительного профессионального образования «Академия повышения квалификации и профессиональной переподготовки работников образования» (ФГАОУ ДПО АПК и ППРО);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материалов порталов "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Яндекс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 «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Сетевичок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», «Единое окно доступа к образовательным ресурсам» и «Государственные и муниципальные услуги (функции) в Санкт-Петербурге»;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материалов Следственного комитета Российской Федерации;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Методические рекомендации основаны на положениях курса «Основы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кибербезопасности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» (далее – курс), разработанного Временной комиссией Совета Федерации по развитию информационного общества.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proofErr w:type="gram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Курс был одобрен и рекомендован руководителям образовательных организаций высшего образования департаментом высшего образования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Минобрнауки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 (письмо от 28 июля 2017 г. № 05-11170) для интеграции курса в образовательные программы по УГСН 44.00.00 "Образование и педагогические науки" и реализуется во многих образовательных организациях Российской Федерации согласно рекомендациям парламентских слушаний «Актуальные вопросы обеспечения безопасности и развития детей в информационном пространстве», прошедшие в Совете</w:t>
      </w:r>
      <w:proofErr w:type="gram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Федерации 17 апреля 2017 года, и модульной региональной программы обеспечения информационной безопасности детей, производства информационной продукции для детей и оборота информационной продукции, принятой и утверждённой в большинстве субъектов Российской Федерации в качестве региональных программ и планов.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Обновление и актуализация методических рекомендаций будет </w:t>
      </w:r>
      <w:proofErr w:type="gram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осуществляться Временной комиссией Совета Федерации по развитию информационного общества до 2020 года включено</w:t>
      </w:r>
      <w:proofErr w:type="gram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согласно разделу «Организационно-административные мероприятия Временной комиссии Совета Федерации по развитию информационного общества по реализации методических рекомендаций» методических рекомендаций.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Целью использования методических рекомендаций к 2020 году являются достижение следующих показателей: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   Охват 100 процентов общеобразовательных организаций системным обучением детей </w:t>
      </w:r>
      <w:proofErr w:type="spellStart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кибербезопасности</w:t>
      </w:r>
      <w:proofErr w:type="spellEnd"/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Охват не менее 70 процентов педагогических работников, прошедших специальное обучение, курсы и мероприятия, направленные на повышение уровня их знаний и навыков в сфере информационной безопасности;</w:t>
      </w:r>
    </w:p>
    <w:p w:rsidR="00E86CD4" w:rsidRPr="00E86CD4" w:rsidRDefault="00E86CD4" w:rsidP="00E86C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E86CD4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  Охват не менее 20 процентов родителей (законных представителей) обучающихся образовательных организаций, прошедших специальное обучение, курсы и мероприятия, направленные на повышение уровня их знаний и навыков в сфере информационной безопасности детей.</w:t>
      </w:r>
    </w:p>
    <w:p w:rsidR="00FB2105" w:rsidRDefault="00E86CD4"/>
    <w:sectPr w:rsidR="00FB2105" w:rsidSect="0027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403"/>
    <w:multiLevelType w:val="multilevel"/>
    <w:tmpl w:val="BF76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E20C2"/>
    <w:multiLevelType w:val="multilevel"/>
    <w:tmpl w:val="CB7A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CD4"/>
    <w:rsid w:val="00271076"/>
    <w:rsid w:val="00276F70"/>
    <w:rsid w:val="00756C5E"/>
    <w:rsid w:val="00E8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76"/>
  </w:style>
  <w:style w:type="paragraph" w:styleId="2">
    <w:name w:val="heading 2"/>
    <w:basedOn w:val="a"/>
    <w:link w:val="20"/>
    <w:uiPriority w:val="9"/>
    <w:qFormat/>
    <w:rsid w:val="00E8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6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C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C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temtextresizertitle">
    <w:name w:val="itemtextresizertitle"/>
    <w:basedOn w:val="a0"/>
    <w:rsid w:val="00E86CD4"/>
  </w:style>
  <w:style w:type="character" w:styleId="a3">
    <w:name w:val="Hyperlink"/>
    <w:basedOn w:val="a0"/>
    <w:uiPriority w:val="99"/>
    <w:semiHidden/>
    <w:unhideWhenUsed/>
    <w:rsid w:val="00E86C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1432</Words>
  <Characters>8164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2019-10-11T08:24:00Z</dcterms:created>
  <dcterms:modified xsi:type="dcterms:W3CDTF">2019-10-11T08:24:00Z</dcterms:modified>
</cp:coreProperties>
</file>