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right"/>
        <w:rPr>
          <w:b/>
          <w:sz w:val="28"/>
          <w:szCs w:val="28"/>
        </w:rPr>
      </w:pPr>
      <w:r>
        <w:rPr>
          <w:color w:val="FFFFFF" w:themeColor="background1"/>
          <w:sz w:val="28"/>
          <w:szCs w:val="28"/>
        </w:rPr>
        <w:t>Приложен</w:t>
      </w:r>
    </w:p>
    <w:p>
      <w:pPr>
        <w:jc w:val="center"/>
        <w:rPr>
          <w:sz w:val="28"/>
          <w:szCs w:val="28"/>
        </w:rPr>
      </w:pPr>
      <w:bookmarkStart w:id="0" w:name="_Hlk531248009"/>
      <w:r>
        <w:rPr>
          <w:b/>
          <w:sz w:val="28"/>
          <w:szCs w:val="28"/>
        </w:rPr>
        <w:t>ИНФОРМАЦИЯ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торгах по продаже имущества, включенного в программу приватизации государственного имущества 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>Костромской области на 2017-2019 годы</w:t>
      </w:r>
    </w:p>
    <w:p>
      <w:pPr>
        <w:jc w:val="center"/>
        <w:rPr>
          <w:b/>
          <w:sz w:val="28"/>
          <w:szCs w:val="28"/>
        </w:rPr>
      </w:pPr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Продавец: </w:t>
      </w:r>
      <w:r>
        <w:rPr>
          <w:sz w:val="28"/>
          <w:szCs w:val="28"/>
        </w:rPr>
        <w:t>департамент имущественных и земельных отношений Костромской области (г. Кострома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>л. Калиновская,                 д. 38, 2 этаж).</w:t>
      </w:r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Способ приватизации:</w:t>
      </w:r>
      <w:r>
        <w:rPr>
          <w:sz w:val="28"/>
          <w:szCs w:val="28"/>
        </w:rPr>
        <w:t xml:space="preserve"> продажа на конкурсе. </w:t>
      </w:r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Дата, место проведения торгов:</w:t>
      </w:r>
      <w:r>
        <w:rPr>
          <w:sz w:val="28"/>
          <w:szCs w:val="28"/>
        </w:rPr>
        <w:t xml:space="preserve"> 15.02.2019 года в 11.00 час по московскому времени в департаменте имущественных и земельных отношений Костромской области по адресу: г. Кострома. ул. Калиновская, д. 38, каб. 201</w:t>
      </w:r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Сроки приема заявок и поступления задатков: </w:t>
      </w:r>
      <w:r>
        <w:rPr>
          <w:sz w:val="28"/>
          <w:szCs w:val="28"/>
        </w:rPr>
        <w:t>с 29.12.2018 по 08.02.2019 (включительно).</w:t>
      </w:r>
    </w:p>
    <w:p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Полная информация о приватизации размещена на сайтах в сети «Интернет»: www.torgi.gov.ru, </w:t>
      </w:r>
      <w:hyperlink r:id="rId8" w:history="1">
        <w:r>
          <w:rPr>
            <w:sz w:val="28"/>
            <w:szCs w:val="28"/>
          </w:rPr>
          <w:t>www.dizo44.ru</w:t>
        </w:r>
      </w:hyperlink>
      <w:r>
        <w:rPr>
          <w:sz w:val="28"/>
          <w:szCs w:val="28"/>
        </w:rPr>
        <w:t xml:space="preserve"> (сайт департамента имущественных и земельных отношений Костромской области), </w:t>
      </w:r>
      <w:hyperlink r:id="rId9" w:history="1">
        <w:r>
          <w:rPr>
            <w:sz w:val="28"/>
            <w:szCs w:val="28"/>
          </w:rPr>
          <w:t>www.аdm44.ru</w:t>
        </w:r>
      </w:hyperlink>
      <w:r>
        <w:rPr>
          <w:sz w:val="28"/>
          <w:szCs w:val="28"/>
        </w:rPr>
        <w:t xml:space="preserve"> приватизация государственного имущества (портал государственных органов Костромской области).</w:t>
      </w:r>
    </w:p>
    <w:p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Справки по телефону: (4942) 45-20-12 Смирнова Наталья Александровна, заместитель начальника отдела управления областной собственностью департамента имущественных и земельных отношений Костромской области.</w:t>
      </w:r>
    </w:p>
    <w:p>
      <w:pPr>
        <w:tabs>
          <w:tab w:val="left" w:pos="142"/>
        </w:tabs>
        <w:ind w:firstLine="709"/>
        <w:jc w:val="both"/>
        <w:rPr>
          <w:sz w:val="24"/>
          <w:szCs w:val="24"/>
        </w:rPr>
      </w:pPr>
    </w:p>
    <w:bookmarkEnd w:id="0"/>
    <w:p>
      <w:pPr>
        <w:ind w:firstLine="709"/>
        <w:jc w:val="right"/>
        <w:rPr>
          <w:sz w:val="28"/>
          <w:szCs w:val="28"/>
        </w:rPr>
      </w:pPr>
    </w:p>
    <w:tbl>
      <w:tblPr>
        <w:tblW w:w="149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723"/>
        <w:gridCol w:w="1985"/>
        <w:gridCol w:w="1276"/>
        <w:gridCol w:w="992"/>
        <w:gridCol w:w="992"/>
        <w:gridCol w:w="1134"/>
        <w:gridCol w:w="2126"/>
        <w:gridCol w:w="3119"/>
      </w:tblGrid>
      <w:tr>
        <w:trPr>
          <w:trHeight w:val="20"/>
        </w:trPr>
        <w:tc>
          <w:tcPr>
            <w:tcW w:w="566" w:type="dxa"/>
            <w:vMerge w:val="restart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лота</w:t>
            </w:r>
          </w:p>
        </w:tc>
        <w:tc>
          <w:tcPr>
            <w:tcW w:w="2723" w:type="dxa"/>
            <w:vMerge w:val="restart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 продажи, технические характеристики</w:t>
            </w: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(местоположение) объекта</w:t>
            </w:r>
          </w:p>
        </w:tc>
        <w:tc>
          <w:tcPr>
            <w:tcW w:w="3260" w:type="dxa"/>
            <w:gridSpan w:val="3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Начальная цена, руб.</w:t>
            </w:r>
          </w:p>
        </w:tc>
        <w:tc>
          <w:tcPr>
            <w:tcW w:w="1134" w:type="dxa"/>
            <w:vMerge w:val="restart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Задаток (20% от начальной цены), </w:t>
            </w:r>
          </w:p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руб.</w:t>
            </w:r>
          </w:p>
        </w:tc>
        <w:tc>
          <w:tcPr>
            <w:tcW w:w="2126" w:type="dxa"/>
            <w:vMerge w:val="restart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Обременение</w:t>
            </w:r>
          </w:p>
        </w:tc>
        <w:tc>
          <w:tcPr>
            <w:tcW w:w="3119" w:type="dxa"/>
            <w:vMerge w:val="restart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конкурса *</w:t>
            </w:r>
          </w:p>
          <w:p>
            <w:pPr>
              <w:ind w:left="-3218" w:right="-108"/>
              <w:jc w:val="center"/>
              <w:rPr>
                <w:sz w:val="24"/>
                <w:szCs w:val="24"/>
              </w:rPr>
            </w:pPr>
          </w:p>
        </w:tc>
      </w:tr>
      <w:tr>
        <w:trPr>
          <w:trHeight w:val="192"/>
        </w:trPr>
        <w:tc>
          <w:tcPr>
            <w:tcW w:w="566" w:type="dxa"/>
            <w:vMerge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 </w:t>
            </w:r>
          </w:p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 НДС)</w:t>
            </w:r>
          </w:p>
        </w:tc>
        <w:tc>
          <w:tcPr>
            <w:tcW w:w="1984" w:type="dxa"/>
            <w:gridSpan w:val="2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vMerge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>
            <w:pPr>
              <w:ind w:left="-108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>
            <w:pPr>
              <w:ind w:left="-108" w:right="-108"/>
              <w:jc w:val="both"/>
              <w:rPr>
                <w:sz w:val="24"/>
                <w:szCs w:val="24"/>
              </w:rPr>
            </w:pPr>
          </w:p>
        </w:tc>
      </w:tr>
      <w:tr>
        <w:trPr>
          <w:trHeight w:val="977"/>
        </w:trPr>
        <w:tc>
          <w:tcPr>
            <w:tcW w:w="566" w:type="dxa"/>
            <w:vMerge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</w:t>
            </w:r>
            <w:proofErr w:type="spellStart"/>
            <w:proofErr w:type="gramStart"/>
            <w:r>
              <w:rPr>
                <w:sz w:val="24"/>
                <w:szCs w:val="24"/>
              </w:rPr>
              <w:t>недвижи</w:t>
            </w:r>
            <w:proofErr w:type="spellEnd"/>
            <w:r>
              <w:rPr>
                <w:sz w:val="24"/>
                <w:szCs w:val="24"/>
              </w:rPr>
              <w:t>-мости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>
            <w:pPr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(с НДС)</w:t>
            </w:r>
          </w:p>
        </w:tc>
        <w:tc>
          <w:tcPr>
            <w:tcW w:w="992" w:type="dxa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Зем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участок</w:t>
            </w:r>
          </w:p>
        </w:tc>
        <w:tc>
          <w:tcPr>
            <w:tcW w:w="1134" w:type="dxa"/>
            <w:vMerge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>
            <w:pPr>
              <w:ind w:left="-108" w:right="-108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>
            <w:pPr>
              <w:ind w:left="-108" w:right="-108"/>
              <w:jc w:val="both"/>
              <w:rPr>
                <w:sz w:val="24"/>
                <w:szCs w:val="24"/>
              </w:rPr>
            </w:pPr>
          </w:p>
        </w:tc>
      </w:tr>
      <w:tr>
        <w:trPr>
          <w:trHeight w:val="20"/>
        </w:trPr>
        <w:tc>
          <w:tcPr>
            <w:tcW w:w="566" w:type="dxa"/>
          </w:tcPr>
          <w:p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23" w:type="dxa"/>
          </w:tcPr>
          <w:p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 культурного наследия. Ансамбль центра города XVIII-XIX вв.: Здание торговых рядов согласно перечня объектов культурного наследия федерального значения, назначение: нежилое здание, 2-этажный (подземных </w:t>
            </w:r>
            <w:r>
              <w:rPr>
                <w:sz w:val="24"/>
                <w:szCs w:val="24"/>
              </w:rPr>
              <w:lastRenderedPageBreak/>
              <w:t xml:space="preserve">этажей-1), общая площадь 893,4 кв.м, </w:t>
            </w:r>
            <w:bookmarkStart w:id="1" w:name="_Hlk527637721"/>
            <w:r>
              <w:rPr>
                <w:sz w:val="24"/>
                <w:szCs w:val="24"/>
              </w:rPr>
              <w:t>кадастровый номер: 44:13</w:t>
            </w:r>
            <w:bookmarkEnd w:id="1"/>
            <w:r>
              <w:rPr>
                <w:sz w:val="24"/>
                <w:szCs w:val="24"/>
              </w:rPr>
              <w:t xml:space="preserve">:140504:179, адрес (местонахождение): Костромская область, </w:t>
            </w:r>
            <w:proofErr w:type="spellStart"/>
            <w:r>
              <w:rPr>
                <w:sz w:val="24"/>
                <w:szCs w:val="24"/>
              </w:rPr>
              <w:t>Нерехтский</w:t>
            </w:r>
            <w:proofErr w:type="spellEnd"/>
            <w:r>
              <w:rPr>
                <w:sz w:val="24"/>
                <w:szCs w:val="24"/>
              </w:rPr>
              <w:t xml:space="preserve"> район, г. Нерехта,      пл. Свободы, д. 2, с одновременным отчуждением земельного участка, категория  земель: земли населенных пунктов, разрешенное использование: магазины, общая площадь 1 175 кв.м, кадастровый номер 44:13:140503:57</w:t>
            </w:r>
          </w:p>
        </w:tc>
        <w:tc>
          <w:tcPr>
            <w:tcW w:w="1985" w:type="dxa"/>
          </w:tcPr>
          <w:p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Костромская область,</w:t>
            </w:r>
          </w:p>
          <w:p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Нерехтский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</w:p>
          <w:p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Нерехта, </w:t>
            </w:r>
          </w:p>
          <w:p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пл. Свободы, торговые ряды</w:t>
            </w:r>
          </w:p>
          <w:p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7 323 000 </w:t>
            </w:r>
          </w:p>
          <w:p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5 820 000</w:t>
            </w:r>
          </w:p>
        </w:tc>
        <w:tc>
          <w:tcPr>
            <w:tcW w:w="992" w:type="dxa"/>
          </w:tcPr>
          <w:p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1 503 000  </w:t>
            </w:r>
          </w:p>
        </w:tc>
        <w:tc>
          <w:tcPr>
            <w:tcW w:w="1134" w:type="dxa"/>
          </w:tcPr>
          <w:p>
            <w:pPr>
              <w:ind w:left="-108"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1 464 600  </w:t>
            </w:r>
          </w:p>
        </w:tc>
        <w:tc>
          <w:tcPr>
            <w:tcW w:w="2126" w:type="dxa"/>
          </w:tcPr>
          <w:p>
            <w:pPr>
              <w:tabs>
                <w:tab w:val="left" w:pos="426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2" w:name="_Hlk533165729"/>
            <w:r>
              <w:rPr>
                <w:sz w:val="24"/>
                <w:szCs w:val="24"/>
              </w:rPr>
              <w:t xml:space="preserve">охранно-арендный договор от 20 июня 2006 года  № 689, заключенный на неопределенный срок </w:t>
            </w:r>
            <w:bookmarkEnd w:id="2"/>
            <w:r>
              <w:rPr>
                <w:sz w:val="24"/>
                <w:szCs w:val="24"/>
              </w:rPr>
              <w:t>на помещения № 3-4 (1этаж) площадью 112,04 кв.м;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охранно-</w:t>
            </w:r>
            <w:r>
              <w:rPr>
                <w:sz w:val="24"/>
                <w:szCs w:val="24"/>
              </w:rPr>
              <w:lastRenderedPageBreak/>
              <w:t>арендный договор от 24 февраля 2004 года № 520, заключенный на неопределенный срок на часть помещения № 8 площадью 45,29 кв.м  и галерею площадью 9,9 кв.м;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обязанность покупателя по выполнению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 и охранного обязательства собственника или иного законного владельца объекта культурного наследия, включенного в единый </w:t>
            </w:r>
            <w:r>
              <w:rPr>
                <w:sz w:val="24"/>
                <w:szCs w:val="24"/>
              </w:rPr>
              <w:lastRenderedPageBreak/>
              <w:t xml:space="preserve">государственный реестр объектов культурного наследия (памятников истории и культуры) народов Российской Федерации, утвержденным приказом инспекции по охране объектов культурного наследия Костромской области от 24 октября           2018 года  № 102 </w:t>
            </w:r>
          </w:p>
        </w:tc>
        <w:tc>
          <w:tcPr>
            <w:tcW w:w="3119" w:type="dxa"/>
          </w:tcPr>
          <w:p>
            <w:pPr>
              <w:ind w:firstLine="17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Обязанность покупателя по проведению работ по сохранению объекта культурного наследия в порядке, установленном Федеральным законом от 25 июня 2002 года             № 73-ФЗ «Об объектах культурного наследия (памятниках истории и культуры) народов </w:t>
            </w:r>
            <w:r>
              <w:rPr>
                <w:sz w:val="24"/>
                <w:szCs w:val="24"/>
              </w:rPr>
              <w:lastRenderedPageBreak/>
              <w:t>Российской Федерации» и охранными обязательствами собственника или иного законного владельца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утвержденным приказом инспекции по охране объектов культурного наследия Костромской области от 24 октября 2018 года  № 102:</w:t>
            </w:r>
          </w:p>
          <w:p>
            <w:pPr>
              <w:ind w:firstLine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в течение 6 месяцев со дня подписания передаточного акта разработать и согласовать в установленном законодательством порядке проектную документацию на основании проведенного инженерно-технического обследования            (далее-документация);</w:t>
            </w:r>
          </w:p>
          <w:p>
            <w:pPr>
              <w:ind w:firstLine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2) в течение 12 месяцев со дня согласования документации выполнить ремонтно-реставрационные работы и (или) работы по приспособлению объекта </w:t>
            </w:r>
            <w:r>
              <w:rPr>
                <w:sz w:val="24"/>
                <w:szCs w:val="24"/>
              </w:rPr>
              <w:lastRenderedPageBreak/>
              <w:t>культурного наследия под современное использование в соответствии с разработанной и согласованной с Госорганом (</w:t>
            </w:r>
            <w:proofErr w:type="spellStart"/>
            <w:r>
              <w:rPr>
                <w:sz w:val="24"/>
                <w:szCs w:val="24"/>
              </w:rPr>
              <w:t>Охранкультура</w:t>
            </w:r>
            <w:proofErr w:type="spellEnd"/>
            <w:r>
              <w:rPr>
                <w:sz w:val="24"/>
                <w:szCs w:val="24"/>
              </w:rPr>
              <w:t xml:space="preserve"> Костромской области) документацией.</w:t>
            </w:r>
          </w:p>
        </w:tc>
      </w:tr>
    </w:tbl>
    <w:p>
      <w:pPr>
        <w:pStyle w:val="Default"/>
        <w:ind w:left="142"/>
        <w:jc w:val="both"/>
        <w:rPr>
          <w:b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объекте проведен комплекс мероприятий по ремонтно-реставрационным работам. Объект находится в удовлетворительном состоянии.</w:t>
      </w: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858250" cy="59655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202" cy="596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GoBack"/>
      <w:bookmarkEnd w:id="3"/>
    </w:p>
    <w:sectPr>
      <w:headerReference w:type="default" r:id="rId11"/>
      <w:type w:val="oddPage"/>
      <w:pgSz w:w="16840" w:h="11907" w:orient="landscape" w:code="9"/>
      <w:pgMar w:top="567" w:right="538" w:bottom="851" w:left="99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5C2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">
    <w:nsid w:val="1AFA1CE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">
    <w:nsid w:val="611948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6FDA4D2E"/>
    <w:multiLevelType w:val="singleLevel"/>
    <w:tmpl w:val="44C48D06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18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ind w:left="1026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ind w:left="317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"/>
    <w:qFormat/>
    <w:pPr>
      <w:keepNext/>
      <w:spacing w:line="360" w:lineRule="auto"/>
      <w:ind w:firstLine="851"/>
      <w:jc w:val="both"/>
      <w:outlineLvl w:val="6"/>
    </w:pPr>
    <w:rPr>
      <w:b/>
      <w:bCs/>
      <w:sz w:val="26"/>
      <w:szCs w:val="26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pPr>
      <w:keepNext/>
      <w:jc w:val="both"/>
      <w:outlineLvl w:val="8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spacing w:before="240"/>
    </w:pPr>
    <w:rPr>
      <w:rFonts w:ascii="Arial" w:hAnsi="Arial" w:cs="Arial"/>
      <w:sz w:val="16"/>
      <w:szCs w:val="16"/>
    </w:rPr>
  </w:style>
  <w:style w:type="paragraph" w:styleId="a3">
    <w:name w:val="Body Text"/>
    <w:basedOn w:val="a"/>
    <w:pPr>
      <w:jc w:val="center"/>
    </w:pPr>
    <w:rPr>
      <w:sz w:val="28"/>
      <w:szCs w:val="28"/>
    </w:rPr>
  </w:style>
  <w:style w:type="paragraph" w:styleId="a4">
    <w:name w:val="Body Text Indent"/>
    <w:basedOn w:val="a"/>
    <w:pPr>
      <w:ind w:firstLine="720"/>
      <w:jc w:val="both"/>
    </w:pPr>
    <w:rPr>
      <w:sz w:val="24"/>
      <w:szCs w:val="24"/>
    </w:rPr>
  </w:style>
  <w:style w:type="paragraph" w:styleId="30">
    <w:name w:val="Body Text 3"/>
    <w:basedOn w:val="a"/>
    <w:rPr>
      <w:sz w:val="28"/>
      <w:szCs w:val="28"/>
    </w:rPr>
  </w:style>
  <w:style w:type="paragraph" w:styleId="20">
    <w:name w:val="Body Text Indent 2"/>
    <w:basedOn w:val="a"/>
    <w:pPr>
      <w:ind w:left="317"/>
    </w:pPr>
    <w:rPr>
      <w:sz w:val="24"/>
      <w:szCs w:val="24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31">
    <w:name w:val="Body Text Indent 3"/>
    <w:basedOn w:val="a"/>
    <w:pPr>
      <w:keepNext/>
      <w:tabs>
        <w:tab w:val="left" w:pos="9072"/>
      </w:tabs>
      <w:spacing w:before="240" w:line="360" w:lineRule="auto"/>
      <w:ind w:firstLine="993"/>
      <w:jc w:val="both"/>
      <w:outlineLvl w:val="1"/>
    </w:pPr>
    <w:rPr>
      <w:sz w:val="28"/>
      <w:szCs w:val="28"/>
    </w:rPr>
  </w:style>
  <w:style w:type="character" w:styleId="a7">
    <w:name w:val="page number"/>
    <w:basedOn w:val="a0"/>
  </w:style>
  <w:style w:type="paragraph" w:styleId="a8">
    <w:name w:val="caption"/>
    <w:basedOn w:val="a"/>
    <w:next w:val="a"/>
    <w:qFormat/>
    <w:pPr>
      <w:ind w:firstLine="708"/>
      <w:jc w:val="center"/>
    </w:pPr>
    <w:rPr>
      <w:sz w:val="28"/>
      <w:szCs w:val="28"/>
    </w:rPr>
  </w:style>
  <w:style w:type="character" w:styleId="a9">
    <w:name w:val="Hyperlink"/>
    <w:basedOn w:val="a0"/>
    <w:rPr>
      <w:color w:val="0000FF"/>
      <w:u w:val="single"/>
    </w:rPr>
  </w:style>
  <w:style w:type="character" w:customStyle="1" w:styleId="60">
    <w:name w:val="Заголовок 6 Знак"/>
    <w:basedOn w:val="a0"/>
    <w:link w:val="6"/>
    <w:rPr>
      <w:b/>
      <w:bCs/>
      <w:sz w:val="24"/>
      <w:szCs w:val="24"/>
    </w:rPr>
  </w:style>
  <w:style w:type="paragraph" w:styleId="aa">
    <w:name w:val="Balloon Text"/>
    <w:basedOn w:val="a"/>
    <w:link w:val="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spacing w:before="18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pPr>
      <w:keepNext/>
      <w:ind w:left="1026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pPr>
      <w:keepNext/>
      <w:ind w:left="317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jc w:val="center"/>
      <w:outlineLvl w:val="5"/>
    </w:pPr>
    <w:rPr>
      <w:b/>
      <w:bCs/>
      <w:sz w:val="24"/>
      <w:szCs w:val="24"/>
    </w:rPr>
  </w:style>
  <w:style w:type="paragraph" w:styleId="7">
    <w:name w:val="heading 7"/>
    <w:basedOn w:val="a"/>
    <w:next w:val="a"/>
    <w:qFormat/>
    <w:pPr>
      <w:keepNext/>
      <w:spacing w:line="360" w:lineRule="auto"/>
      <w:ind w:firstLine="851"/>
      <w:jc w:val="both"/>
      <w:outlineLvl w:val="6"/>
    </w:pPr>
    <w:rPr>
      <w:b/>
      <w:bCs/>
      <w:sz w:val="26"/>
      <w:szCs w:val="26"/>
    </w:rPr>
  </w:style>
  <w:style w:type="paragraph" w:styleId="8">
    <w:name w:val="heading 8"/>
    <w:basedOn w:val="a"/>
    <w:next w:val="a"/>
    <w:qFormat/>
    <w:pPr>
      <w:keepNext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pPr>
      <w:keepNext/>
      <w:jc w:val="both"/>
      <w:outlineLvl w:val="8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spacing w:before="240"/>
    </w:pPr>
    <w:rPr>
      <w:rFonts w:ascii="Arial" w:hAnsi="Arial" w:cs="Arial"/>
      <w:sz w:val="16"/>
      <w:szCs w:val="16"/>
    </w:rPr>
  </w:style>
  <w:style w:type="paragraph" w:styleId="a3">
    <w:name w:val="Body Text"/>
    <w:basedOn w:val="a"/>
    <w:pPr>
      <w:jc w:val="center"/>
    </w:pPr>
    <w:rPr>
      <w:sz w:val="28"/>
      <w:szCs w:val="28"/>
    </w:rPr>
  </w:style>
  <w:style w:type="paragraph" w:styleId="a4">
    <w:name w:val="Body Text Indent"/>
    <w:basedOn w:val="a"/>
    <w:pPr>
      <w:ind w:firstLine="720"/>
      <w:jc w:val="both"/>
    </w:pPr>
    <w:rPr>
      <w:sz w:val="24"/>
      <w:szCs w:val="24"/>
    </w:rPr>
  </w:style>
  <w:style w:type="paragraph" w:styleId="30">
    <w:name w:val="Body Text 3"/>
    <w:basedOn w:val="a"/>
    <w:rPr>
      <w:sz w:val="28"/>
      <w:szCs w:val="28"/>
    </w:rPr>
  </w:style>
  <w:style w:type="paragraph" w:styleId="20">
    <w:name w:val="Body Text Indent 2"/>
    <w:basedOn w:val="a"/>
    <w:pPr>
      <w:ind w:left="317"/>
    </w:pPr>
    <w:rPr>
      <w:sz w:val="24"/>
      <w:szCs w:val="24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31">
    <w:name w:val="Body Text Indent 3"/>
    <w:basedOn w:val="a"/>
    <w:pPr>
      <w:keepNext/>
      <w:tabs>
        <w:tab w:val="left" w:pos="9072"/>
      </w:tabs>
      <w:spacing w:before="240" w:line="360" w:lineRule="auto"/>
      <w:ind w:firstLine="993"/>
      <w:jc w:val="both"/>
      <w:outlineLvl w:val="1"/>
    </w:pPr>
    <w:rPr>
      <w:sz w:val="28"/>
      <w:szCs w:val="28"/>
    </w:rPr>
  </w:style>
  <w:style w:type="character" w:styleId="a7">
    <w:name w:val="page number"/>
    <w:basedOn w:val="a0"/>
  </w:style>
  <w:style w:type="paragraph" w:styleId="a8">
    <w:name w:val="caption"/>
    <w:basedOn w:val="a"/>
    <w:next w:val="a"/>
    <w:qFormat/>
    <w:pPr>
      <w:ind w:firstLine="708"/>
      <w:jc w:val="center"/>
    </w:pPr>
    <w:rPr>
      <w:sz w:val="28"/>
      <w:szCs w:val="28"/>
    </w:rPr>
  </w:style>
  <w:style w:type="character" w:styleId="a9">
    <w:name w:val="Hyperlink"/>
    <w:basedOn w:val="a0"/>
    <w:rPr>
      <w:color w:val="0000FF"/>
      <w:u w:val="single"/>
    </w:rPr>
  </w:style>
  <w:style w:type="character" w:customStyle="1" w:styleId="60">
    <w:name w:val="Заголовок 6 Знак"/>
    <w:basedOn w:val="a0"/>
    <w:link w:val="6"/>
    <w:rPr>
      <w:b/>
      <w:bCs/>
      <w:sz w:val="24"/>
      <w:szCs w:val="24"/>
    </w:rPr>
  </w:style>
  <w:style w:type="paragraph" w:styleId="aa">
    <w:name w:val="Balloon Text"/>
    <w:basedOn w:val="a"/>
    <w:link w:val="a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zo44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&#1072;dm44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asilevaM\&#1056;&#1072;&#1073;&#1086;&#1095;&#1080;&#1081;%20&#1089;&#1090;&#1086;&#1083;\&#1041;&#1083;&#1072;&#1085;&#1082;%20&#1044;&#1077;&#1087;&#1072;&#1088;&#1090;&#1072;&#1084;&#1077;&#1085;&#1090;&#1072;_2015_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Департамента_2015_новый</Template>
  <TotalTime>9</TotalTime>
  <Pages>4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Администрация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VasilevaM</dc:creator>
  <cp:keywords/>
  <dc:description/>
  <cp:lastModifiedBy>User</cp:lastModifiedBy>
  <cp:revision>5</cp:revision>
  <cp:lastPrinted>2019-01-22T06:52:00Z</cp:lastPrinted>
  <dcterms:created xsi:type="dcterms:W3CDTF">2018-12-29T08:21:00Z</dcterms:created>
  <dcterms:modified xsi:type="dcterms:W3CDTF">2019-01-29T12:31:00Z</dcterms:modified>
</cp:coreProperties>
</file>