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40" w:rsidRPr="00A22C30" w:rsidRDefault="00B25640" w:rsidP="000046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Памятка населению по отключению </w:t>
      </w:r>
      <w:proofErr w:type="gramStart"/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аналогового</w:t>
      </w:r>
      <w:proofErr w:type="gramEnd"/>
    </w:p>
    <w:p w:rsidR="009953D3" w:rsidRPr="00A22C30" w:rsidRDefault="00E60AB4" w:rsidP="000046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телевизионного вещания</w:t>
      </w:r>
      <w:r w:rsidR="009236AE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на территории Ивановской области</w:t>
      </w:r>
    </w:p>
    <w:p w:rsidR="009953D3" w:rsidRPr="00A22C30" w:rsidRDefault="009953D3" w:rsidP="000046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</w:pPr>
    </w:p>
    <w:p w:rsidR="00F7340B" w:rsidRPr="00A22C30" w:rsidRDefault="00A22C30" w:rsidP="00004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В Ивановской области аналоговое телевидение будет отключено </w:t>
      </w:r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15 апреля 2019 года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B25640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Для приема бесплатного цифрового эфирного телевидения достаточно приобрести антенну дециметрового диапазона. Большинство современных телевизоров поддерживают стандарт вещания DVB-T2, в котором транслируются бесплатные мультиплексы. </w:t>
      </w:r>
      <w:r w:rsidR="0072755D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(20 телеканалов)</w:t>
      </w:r>
      <w:r w:rsidR="004F13E0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:</w:t>
      </w:r>
      <w:r w:rsidR="00FC3DD9" w:rsidRPr="00A22C30">
        <w:rPr>
          <w:rFonts w:ascii="Times New Roman" w:hAnsi="Times New Roman" w:cs="Times New Roman"/>
          <w:noProof/>
          <w:sz w:val="27"/>
          <w:szCs w:val="28"/>
          <w:lang w:eastAsia="ru-RU"/>
        </w:rPr>
        <w:t xml:space="preserve"> </w:t>
      </w:r>
      <w:proofErr w:type="gramStart"/>
      <w:r w:rsidR="00FC3DD9" w:rsidRPr="00A22C30">
        <w:rPr>
          <w:rFonts w:ascii="Times New Roman" w:hAnsi="Times New Roman" w:cs="Times New Roman"/>
          <w:noProof/>
          <w:sz w:val="27"/>
          <w:szCs w:val="28"/>
          <w:lang w:eastAsia="ru-RU"/>
        </w:rPr>
        <w:t>Первый канал, Россия-1, Матч ТВ, НТВ, Пятый канал, Россия-К, Россия-24, Карусель, ОТР, ТВ Центр, РенТВ, Спас, СТС, Домашний, ТВ-3, Пят</w:t>
      </w:r>
      <w:r w:rsidRPr="00A22C30">
        <w:rPr>
          <w:rFonts w:ascii="Times New Roman" w:hAnsi="Times New Roman" w:cs="Times New Roman"/>
          <w:noProof/>
          <w:sz w:val="27"/>
          <w:szCs w:val="28"/>
          <w:lang w:eastAsia="ru-RU"/>
        </w:rPr>
        <w:t>ница, Звезда, Мир, ТНТ, МузТВ, а</w:t>
      </w:r>
      <w:r w:rsidR="00FC3DD9" w:rsidRPr="00A22C30">
        <w:rPr>
          <w:rFonts w:ascii="Times New Roman" w:hAnsi="Times New Roman" w:cs="Times New Roman"/>
          <w:noProof/>
          <w:sz w:val="27"/>
          <w:szCs w:val="28"/>
          <w:lang w:eastAsia="ru-RU"/>
        </w:rPr>
        <w:t xml:space="preserve"> также три радио канала:</w:t>
      </w:r>
      <w:proofErr w:type="gramEnd"/>
      <w:r w:rsidR="00FC3DD9" w:rsidRPr="00A22C30">
        <w:rPr>
          <w:rFonts w:ascii="Times New Roman" w:hAnsi="Times New Roman" w:cs="Times New Roman"/>
          <w:noProof/>
          <w:sz w:val="27"/>
          <w:szCs w:val="28"/>
          <w:lang w:eastAsia="ru-RU"/>
        </w:rPr>
        <w:t xml:space="preserve"> «Маяк», «Радио России» и «Вести FM».</w:t>
      </w:r>
    </w:p>
    <w:p w:rsidR="009034B4" w:rsidRPr="00A22C30" w:rsidRDefault="00B25640" w:rsidP="00004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</w:t>
      </w:r>
      <w:proofErr w:type="gramStart"/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Стоимость оборудования (цифровая приставка составляе</w:t>
      </w:r>
      <w:r w:rsidR="00D11C12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т от 9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00 рублей, приобрести которое можно в специализиров</w:t>
      </w:r>
      <w:r w:rsidR="0000463E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анных магазинах бытовой техники или отделениях ФГУП «Почта </w:t>
      </w:r>
      <w:r w:rsidR="00FC3DD9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России».</w:t>
      </w:r>
      <w:proofErr w:type="gramEnd"/>
    </w:p>
    <w:p w:rsidR="0000463E" w:rsidRPr="00A22C30" w:rsidRDefault="009034B4" w:rsidP="00004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Если Вы увидели на экране </w:t>
      </w:r>
      <w:r w:rsidR="00C05C98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литеру «А»:</w:t>
      </w:r>
    </w:p>
    <w:p w:rsidR="0000463E" w:rsidRPr="00A22C30" w:rsidRDefault="0000463E" w:rsidP="000046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п</w:t>
      </w:r>
      <w:r w:rsidR="00C05C98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роверьте в настройках Вашего телевизора доступен</w:t>
      </w:r>
      <w:proofErr w:type="gramEnd"/>
      <w:r w:rsidR="00C05C98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ли прием цифрового сигнала;</w:t>
      </w:r>
    </w:p>
    <w:p w:rsidR="00A22C30" w:rsidRPr="00A22C30" w:rsidRDefault="0000463E" w:rsidP="00A22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- е</w:t>
      </w:r>
      <w:r w:rsidR="00C05C98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сли Ваш телевизор не принимает цифровой сигнал, до апреля рассмотрите возможность приобретения цифровой телеприставки. Владельцы старых аналоговых телевизоров, которые не приобретут новое оборудование до 15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05C98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апреля 2019 года, потеряют возможность смотреть федеральные телеканалы.</w:t>
      </w:r>
    </w:p>
    <w:p w:rsidR="0000463E" w:rsidRPr="00A22C30" w:rsidRDefault="0000463E" w:rsidP="00A22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b/>
          <w:color w:val="000000"/>
          <w:sz w:val="27"/>
          <w:szCs w:val="28"/>
          <w:bdr w:val="none" w:sz="0" w:space="0" w:color="auto" w:frame="1"/>
          <w:lang w:eastAsia="ru-RU"/>
        </w:rPr>
        <w:t>Внимание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Pr="00A22C30">
        <w:rPr>
          <w:rFonts w:ascii="Times New Roman" w:eastAsia="Times New Roman" w:hAnsi="Times New Roman" w:cs="Times New Roman"/>
          <w:b/>
          <w:color w:val="000000"/>
          <w:sz w:val="27"/>
          <w:szCs w:val="28"/>
          <w:bdr w:val="none" w:sz="0" w:space="0" w:color="auto" w:frame="1"/>
          <w:lang w:eastAsia="ru-RU"/>
        </w:rPr>
        <w:t>жителей следующих населенных пунктов: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22C30">
        <w:rPr>
          <w:rFonts w:ascii="Times New Roman" w:eastAsia="Times New Roman" w:hAnsi="Times New Roman" w:cs="Times New Roman"/>
          <w:b/>
          <w:color w:val="000000"/>
          <w:sz w:val="27"/>
          <w:szCs w:val="28"/>
          <w:bdr w:val="none" w:sz="0" w:space="0" w:color="auto" w:frame="1"/>
          <w:lang w:eastAsia="ru-RU"/>
        </w:rPr>
        <w:t>Заволжский район: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D1591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</w:t>
      </w:r>
      <w:proofErr w:type="spellStart"/>
      <w:r w:rsidR="00886A34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Караваиха</w:t>
      </w:r>
      <w:proofErr w:type="spellEnd"/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Князево</w:t>
      </w:r>
      <w:proofErr w:type="spellEnd"/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Лыково</w:t>
      </w:r>
      <w:proofErr w:type="spellEnd"/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Мера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Октябрьс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кий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,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Свечково</w:t>
      </w:r>
      <w:proofErr w:type="spellEnd"/>
      <w:r w:rsidR="007A7BE8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Ильинский</w:t>
      </w:r>
      <w:r w:rsidR="009953D3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Полуево</w:t>
      </w:r>
      <w:proofErr w:type="spellEnd"/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D1591D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Кинешемский</w:t>
      </w:r>
      <w:r w:rsidR="009953D3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FC3DD9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Pr="00A22C30">
        <w:rPr>
          <w:rFonts w:ascii="Times New Roman" w:hAnsi="Times New Roman" w:cs="Times New Roman"/>
          <w:sz w:val="27"/>
          <w:szCs w:val="28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Гавшино</w:t>
      </w:r>
      <w:proofErr w:type="spellEnd"/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Галкино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Георгиевское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Красногорский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64528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Малая,</w:t>
      </w:r>
      <w:r w:rsidR="009953D3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Сокерн</w:t>
      </w:r>
      <w:r w:rsidR="007A7BE8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о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во,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Якушево</w:t>
      </w:r>
      <w:proofErr w:type="spellEnd"/>
      <w:r w:rsidR="007A7BE8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Лежневский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Лежневская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Роща</w:t>
      </w:r>
      <w:r w:rsidR="0072755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Пестяковский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Мугреевский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Бор,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Осинки,</w:t>
      </w:r>
      <w:proofErr w:type="gramEnd"/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Сезух</w:t>
      </w:r>
      <w:proofErr w:type="spellEnd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Старый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Сезух</w:t>
      </w:r>
      <w:proofErr w:type="spellEnd"/>
      <w:r w:rsidR="007A7BE8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Пучежский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7A7BE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D72BC2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Иваниха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D1591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Панкратиха</w:t>
      </w:r>
      <w:r w:rsidR="004D7515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Савинский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Заозерье,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Яковлево</w:t>
      </w:r>
      <w:r w:rsidR="004D7515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Фурмановский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</w:t>
      </w:r>
      <w:r w:rsidR="00F74908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о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Петрушиха</w:t>
      </w:r>
      <w:proofErr w:type="spellEnd"/>
      <w:r w:rsidR="00187B3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235AD6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Южский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Колягино,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Косики</w:t>
      </w:r>
      <w:r w:rsidR="004D7515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64528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д. Нагорново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;</w:t>
      </w:r>
      <w:r w:rsidR="00A22C30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Юрьевецкий</w:t>
      </w:r>
      <w:r w:rsidR="00120961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4D7515"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район: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Барсуки,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 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Сытное,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Талица,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Устиниха,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д.</w:t>
      </w:r>
      <w:r w:rsidR="00120961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CC2EDD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Хлопотиха</w:t>
      </w:r>
      <w:r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  <w:proofErr w:type="gramEnd"/>
    </w:p>
    <w:p w:rsidR="00A22C30" w:rsidRDefault="00A22C30" w:rsidP="00550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Перечисленные населенные пункты находя</w:t>
      </w:r>
      <w:r w:rsidR="00B25640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тся вне </w:t>
      </w:r>
      <w:r w:rsidR="00550A11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зоны цифрового телевизионного вещания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550A11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(приказ Министерства цифрового развития, связи и массовых коммуникаций Российской Федерации от 05.03.2019 № 81)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>.</w:t>
      </w:r>
    </w:p>
    <w:p w:rsidR="00D642CB" w:rsidRPr="00D642CB" w:rsidRDefault="00550A11" w:rsidP="00D642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8"/>
        </w:rPr>
      </w:pPr>
      <w:r w:rsidRPr="00550A11">
        <w:rPr>
          <w:rFonts w:ascii="Times New Roman" w:hAnsi="Times New Roman" w:cs="Times New Roman"/>
          <w:sz w:val="27"/>
          <w:szCs w:val="28"/>
        </w:rPr>
        <w:t xml:space="preserve">В населенных пунктах, не охваченных цифровым телевизионным вещанием, просмотр телевизионных программ будет возможен только при помощи спутникового телевидения. </w:t>
      </w:r>
      <w:r w:rsidR="009236AE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Стандартный комплект состоит из </w:t>
      </w:r>
      <w:hyperlink r:id="rId6" w:tooltip="Спутниковая антенна" w:history="1">
        <w:r w:rsidR="009236AE" w:rsidRPr="00A22C30">
          <w:rPr>
            <w:rFonts w:ascii="Times New Roman" w:eastAsia="Times New Roman" w:hAnsi="Times New Roman" w:cs="Times New Roman"/>
            <w:bCs/>
            <w:color w:val="000000"/>
            <w:sz w:val="27"/>
            <w:szCs w:val="28"/>
            <w:bdr w:val="none" w:sz="0" w:space="0" w:color="auto" w:frame="1"/>
            <w:lang w:eastAsia="ru-RU"/>
          </w:rPr>
          <w:t>спутниковой антенны</w:t>
        </w:r>
      </w:hyperlink>
      <w:r w:rsidR="009236AE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, кронштейна, </w:t>
      </w:r>
      <w:hyperlink r:id="rId7" w:tooltip="Спутниковый конвертер" w:history="1">
        <w:r w:rsidR="009236AE" w:rsidRPr="00A22C30">
          <w:rPr>
            <w:rFonts w:ascii="Times New Roman" w:eastAsia="Times New Roman" w:hAnsi="Times New Roman" w:cs="Times New Roman"/>
            <w:bCs/>
            <w:color w:val="000000"/>
            <w:sz w:val="27"/>
            <w:szCs w:val="28"/>
            <w:bdr w:val="none" w:sz="0" w:space="0" w:color="auto" w:frame="1"/>
            <w:lang w:eastAsia="ru-RU"/>
          </w:rPr>
          <w:t>конвертера</w:t>
        </w:r>
      </w:hyperlink>
      <w:r w:rsidR="009236AE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hyperlink r:id="rId8" w:tooltip="Коаксиальный кабель" w:history="1">
        <w:r w:rsidR="009236AE" w:rsidRPr="00A22C30">
          <w:rPr>
            <w:rFonts w:ascii="Times New Roman" w:eastAsia="Times New Roman" w:hAnsi="Times New Roman" w:cs="Times New Roman"/>
            <w:bCs/>
            <w:color w:val="000000"/>
            <w:sz w:val="27"/>
            <w:szCs w:val="28"/>
            <w:bdr w:val="none" w:sz="0" w:space="0" w:color="auto" w:frame="1"/>
            <w:lang w:eastAsia="ru-RU"/>
          </w:rPr>
          <w:t>кабеля</w:t>
        </w:r>
      </w:hyperlink>
      <w:r w:rsidR="009236AE" w:rsidRPr="00A22C30"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  <w:t xml:space="preserve"> и спутникового приёмника, последний может быть встроен в телевизор или исполнен в виде компьютерной платы. Необходимое оборудование вы можете приобрести у операторов спутникового телевидения.</w:t>
      </w:r>
      <w:r w:rsidR="00D642CB" w:rsidRPr="00D642CB">
        <w:rPr>
          <w:rFonts w:ascii="Times New Roman" w:hAnsi="Times New Roman" w:cs="Times New Roman"/>
          <w:sz w:val="27"/>
          <w:szCs w:val="28"/>
        </w:rPr>
        <w:t xml:space="preserve"> (</w:t>
      </w:r>
      <w:r w:rsidR="00D642CB" w:rsidRPr="00D642CB">
        <w:rPr>
          <w:rFonts w:ascii="Times New Roman" w:hAnsi="Times New Roman" w:cs="Times New Roman"/>
          <w:i/>
          <w:sz w:val="27"/>
          <w:szCs w:val="28"/>
        </w:rPr>
        <w:t xml:space="preserve">Два оператора спутникового телевидения </w:t>
      </w:r>
      <w:proofErr w:type="spellStart"/>
      <w:r w:rsidR="00D642CB" w:rsidRPr="00D642CB">
        <w:rPr>
          <w:rFonts w:ascii="Times New Roman" w:hAnsi="Times New Roman" w:cs="Times New Roman"/>
          <w:i/>
          <w:sz w:val="27"/>
          <w:szCs w:val="28"/>
        </w:rPr>
        <w:t>Триколор</w:t>
      </w:r>
      <w:proofErr w:type="spellEnd"/>
      <w:r w:rsidR="00D642CB" w:rsidRPr="00D642CB">
        <w:rPr>
          <w:rFonts w:ascii="Times New Roman" w:hAnsi="Times New Roman" w:cs="Times New Roman"/>
          <w:i/>
          <w:sz w:val="27"/>
          <w:szCs w:val="28"/>
        </w:rPr>
        <w:t xml:space="preserve"> ТВ и НТВ+ обеспечат жителям населенных пунктов вне зоны цифрового вещания возможность полностью бесплатного получения 20 обязательных общедоступных каналов).</w:t>
      </w:r>
    </w:p>
    <w:p w:rsidR="009236AE" w:rsidRPr="009236AE" w:rsidRDefault="009236AE" w:rsidP="00923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8"/>
          <w:bdr w:val="none" w:sz="0" w:space="0" w:color="auto" w:frame="1"/>
          <w:lang w:eastAsia="ru-RU"/>
        </w:rPr>
      </w:pPr>
    </w:p>
    <w:p w:rsidR="009236AE" w:rsidRDefault="009236AE" w:rsidP="009236AE">
      <w:pPr>
        <w:spacing w:after="0" w:line="240" w:lineRule="auto"/>
        <w:rPr>
          <w:rFonts w:ascii="Times New Roman" w:hAnsi="Times New Roman" w:cs="Times New Roman"/>
          <w:b/>
          <w:sz w:val="27"/>
          <w:szCs w:val="28"/>
        </w:rPr>
      </w:pPr>
    </w:p>
    <w:p w:rsidR="009236AE" w:rsidRDefault="009236AE" w:rsidP="009236AE">
      <w:pPr>
        <w:spacing w:after="0" w:line="240" w:lineRule="auto"/>
        <w:rPr>
          <w:rFonts w:ascii="Times New Roman" w:hAnsi="Times New Roman" w:cs="Times New Roman"/>
          <w:b/>
          <w:sz w:val="27"/>
          <w:szCs w:val="28"/>
        </w:rPr>
      </w:pPr>
    </w:p>
    <w:p w:rsidR="009236AE" w:rsidRDefault="009236AE" w:rsidP="009236AE">
      <w:pPr>
        <w:spacing w:after="0" w:line="240" w:lineRule="auto"/>
        <w:rPr>
          <w:rFonts w:ascii="Times New Roman" w:hAnsi="Times New Roman" w:cs="Times New Roman"/>
          <w:b/>
          <w:sz w:val="27"/>
          <w:szCs w:val="28"/>
        </w:rPr>
      </w:pPr>
    </w:p>
    <w:p w:rsidR="004F13E0" w:rsidRPr="00A22C30" w:rsidRDefault="00EF7D87" w:rsidP="0000463E">
      <w:pPr>
        <w:spacing w:after="0" w:line="240" w:lineRule="auto"/>
        <w:ind w:firstLine="709"/>
        <w:rPr>
          <w:rFonts w:ascii="Times New Roman" w:hAnsi="Times New Roman" w:cs="Times New Roman"/>
          <w:b/>
          <w:sz w:val="27"/>
          <w:szCs w:val="28"/>
        </w:rPr>
      </w:pPr>
      <w:r w:rsidRPr="00A22C30">
        <w:rPr>
          <w:rFonts w:ascii="Times New Roman" w:hAnsi="Times New Roman" w:cs="Times New Roman"/>
          <w:b/>
          <w:sz w:val="27"/>
          <w:szCs w:val="28"/>
        </w:rPr>
        <w:t>С</w:t>
      </w:r>
      <w:r w:rsidR="00B93B3A" w:rsidRPr="00A22C30">
        <w:rPr>
          <w:rFonts w:ascii="Times New Roman" w:hAnsi="Times New Roman" w:cs="Times New Roman"/>
          <w:b/>
          <w:sz w:val="27"/>
          <w:szCs w:val="28"/>
        </w:rPr>
        <w:t>оциальная поддержка</w:t>
      </w:r>
      <w:r w:rsidRPr="00A22C30">
        <w:rPr>
          <w:rFonts w:ascii="Times New Roman" w:hAnsi="Times New Roman" w:cs="Times New Roman"/>
          <w:b/>
          <w:sz w:val="27"/>
          <w:szCs w:val="28"/>
        </w:rPr>
        <w:t>.</w:t>
      </w:r>
    </w:p>
    <w:p w:rsidR="009236AE" w:rsidRPr="009236AE" w:rsidRDefault="009236AE" w:rsidP="009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9236AE">
        <w:rPr>
          <w:rFonts w:ascii="Times New Roman" w:hAnsi="Times New Roman" w:cs="Times New Roman"/>
          <w:sz w:val="27"/>
          <w:szCs w:val="28"/>
        </w:rPr>
        <w:t>Правительством Ивановской области предусмотрена адресная социальная помощь по возмещению затрат связанных с приобретением цифрового приемного оборудования для отдельных категорий граждан: малоимущим семьям и малоимущим одиноко проживающим гражданам региона, среднедушевой доход которых ниже прожиточного минимума, установленного в Ивановской области, которые приобрели оборудование и обратились с заявлением в территориальные органы социальной защиты населения Ивановской области о предоставлении денежной выплаты в период с</w:t>
      </w:r>
      <w:proofErr w:type="gramEnd"/>
      <w:r w:rsidRPr="009236AE">
        <w:rPr>
          <w:rFonts w:ascii="Times New Roman" w:hAnsi="Times New Roman" w:cs="Times New Roman"/>
          <w:sz w:val="27"/>
          <w:szCs w:val="28"/>
        </w:rPr>
        <w:t xml:space="preserve"> 1 марта 2019 года по 31 августа 2019 года. </w:t>
      </w:r>
    </w:p>
    <w:p w:rsidR="009236AE" w:rsidRPr="009236AE" w:rsidRDefault="009236AE" w:rsidP="009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9236AE">
        <w:rPr>
          <w:rFonts w:ascii="Times New Roman" w:hAnsi="Times New Roman" w:cs="Times New Roman"/>
          <w:sz w:val="27"/>
          <w:szCs w:val="28"/>
        </w:rPr>
        <w:t>Размер адресной социальной помощи устанавливается в зависимости от расходов на приобретение пользовательского оборудование для подключения к цифровому телевизионному вещанию, подтвержденных соответствующими документами, но не может превышать:</w:t>
      </w:r>
      <w:proofErr w:type="gramEnd"/>
    </w:p>
    <w:p w:rsidR="009236AE" w:rsidRPr="009236AE" w:rsidRDefault="009236AE" w:rsidP="009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236AE">
        <w:rPr>
          <w:rFonts w:ascii="Times New Roman" w:hAnsi="Times New Roman" w:cs="Times New Roman"/>
          <w:sz w:val="27"/>
          <w:szCs w:val="28"/>
        </w:rPr>
        <w:t>• на приобретение цифровой приставки - 1000 рублей;</w:t>
      </w:r>
    </w:p>
    <w:p w:rsidR="009236AE" w:rsidRDefault="009236AE" w:rsidP="009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236AE">
        <w:rPr>
          <w:rFonts w:ascii="Times New Roman" w:hAnsi="Times New Roman" w:cs="Times New Roman"/>
          <w:sz w:val="27"/>
          <w:szCs w:val="28"/>
        </w:rPr>
        <w:t>• на приобретение комплекта оборудования, состоящего из цифровой приставки и приемной антенны - 2500 рублей.</w:t>
      </w:r>
    </w:p>
    <w:p w:rsidR="00D642CB" w:rsidRPr="00800EE3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 xml:space="preserve">Адресная социальная помощь оказывается на основании заявления, представленного в территориальный орган социальной защиты населения Ивановской области по месту жительства семьи, гражданина не позднее 31.08.2019. </w:t>
      </w:r>
    </w:p>
    <w:p w:rsidR="003F11E6" w:rsidRPr="00A22C30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К заявлению прилагаются:</w:t>
      </w:r>
    </w:p>
    <w:p w:rsidR="003F11E6" w:rsidRPr="00A22C30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а) документ, удостоверяющий личность заявителя;</w:t>
      </w:r>
    </w:p>
    <w:p w:rsidR="003F11E6" w:rsidRPr="00A22C30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б) документ (сведения) о месте жительства заявителя;</w:t>
      </w:r>
    </w:p>
    <w:p w:rsidR="003F11E6" w:rsidRPr="00A22C30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в) сведения о гражданах, зарегистрированных совместно с заявителем;</w:t>
      </w:r>
    </w:p>
    <w:p w:rsidR="003F11E6" w:rsidRPr="00A22C30" w:rsidRDefault="003F11E6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г) сведения, подтверждающие факт установления пенсии;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д) свидетельство о заключении (расторжении) брака, свидетельство о рождении (ребенка) детей, свидетельство об установлении отцовства (иной документ, подтверждающий правовые основания отнесения лиц, проживающих совместно с заявителем, к членам его семьи);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 xml:space="preserve">е) документ (сведения) о видах и суммах назначенных пенсий и дополнительных ежемесячных денежных </w:t>
      </w:r>
      <w:proofErr w:type="gramStart"/>
      <w:r w:rsidRPr="00A22C30">
        <w:rPr>
          <w:rFonts w:ascii="Times New Roman" w:hAnsi="Times New Roman" w:cs="Times New Roman"/>
          <w:sz w:val="27"/>
          <w:szCs w:val="28"/>
        </w:rPr>
        <w:t>выплат заявителя</w:t>
      </w:r>
      <w:proofErr w:type="gramEnd"/>
      <w:r w:rsidRPr="00A22C30">
        <w:rPr>
          <w:rFonts w:ascii="Times New Roman" w:hAnsi="Times New Roman" w:cs="Times New Roman"/>
          <w:sz w:val="27"/>
          <w:szCs w:val="28"/>
        </w:rPr>
        <w:t xml:space="preserve"> и членов его семьи за 3 месяца, предшествующих месяцу подачи заявления (для семей, состоящих из неработающих пенсионеров и (или) инвалидов, и одиноко проживающих неработающих пенсионеров и инвалидов);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ж) документы (сведения) о доходах всех членов семьи, полученных за 3 последних календарных месяца, предшествующих месяцу обращения;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з) согласие заявителя на обработку его персональных данных, а также документов, подтверждающих получение согласия членов его семьи или их законных представителей на обработку персональных данных членов семьи;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и) номер лицевого счета в кредитной организации;</w:t>
      </w:r>
    </w:p>
    <w:p w:rsidR="00C7481A" w:rsidRPr="00A22C30" w:rsidRDefault="00C7481A" w:rsidP="00004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22C30">
        <w:rPr>
          <w:rFonts w:ascii="Times New Roman" w:hAnsi="Times New Roman" w:cs="Times New Roman"/>
          <w:sz w:val="27"/>
          <w:szCs w:val="28"/>
        </w:rPr>
        <w:t>к) документы, подтверждающие расходы гражданина на приобретение пользовательского оборудования для подключения к цифровому телевизионному вещанию (товарный чек, кассовый фискальный чек, гарантийный талон с указанием фамил</w:t>
      </w:r>
      <w:r w:rsidR="009236AE">
        <w:rPr>
          <w:rFonts w:ascii="Times New Roman" w:hAnsi="Times New Roman" w:cs="Times New Roman"/>
          <w:sz w:val="27"/>
          <w:szCs w:val="28"/>
        </w:rPr>
        <w:t>ии, имени, отчества покупателя).</w:t>
      </w:r>
    </w:p>
    <w:p w:rsidR="00C2765F" w:rsidRPr="009236AE" w:rsidRDefault="00C2765F" w:rsidP="00923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</w:pP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Все интересующие Вас вопросы о цифровом телевидении Вы можете задать </w:t>
      </w:r>
      <w:r w:rsidR="00D642CB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по телефонам региональной линии</w:t>
      </w:r>
      <w:r w:rsidR="009236AE"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 </w:t>
      </w:r>
      <w:r w:rsidR="00800EE3">
        <w:rPr>
          <w:rFonts w:ascii="Times New Roman" w:eastAsia="Times New Roman" w:hAnsi="Times New Roman" w:cs="Times New Roman"/>
          <w:b/>
          <w:color w:val="000000"/>
          <w:sz w:val="27"/>
          <w:szCs w:val="28"/>
          <w:bdr w:val="none" w:sz="0" w:space="0" w:color="auto" w:frame="1"/>
          <w:lang w:eastAsia="ru-RU"/>
        </w:rPr>
        <w:t>8 (4932)500-305</w:t>
      </w:r>
      <w:bookmarkStart w:id="0" w:name="_GoBack"/>
      <w:bookmarkEnd w:id="0"/>
      <w:r w:rsidR="009236AE">
        <w:rPr>
          <w:rFonts w:ascii="Times New Roman" w:eastAsia="Times New Roman" w:hAnsi="Times New Roman" w:cs="Times New Roman"/>
          <w:b/>
          <w:color w:val="000000"/>
          <w:sz w:val="27"/>
          <w:szCs w:val="28"/>
          <w:bdr w:val="none" w:sz="0" w:space="0" w:color="auto" w:frame="1"/>
          <w:lang w:eastAsia="ru-RU"/>
        </w:rPr>
        <w:t xml:space="preserve">, 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федеральной линии: </w:t>
      </w:r>
      <w:r w:rsidRPr="00A22C3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bdr w:val="none" w:sz="0" w:space="0" w:color="auto" w:frame="1"/>
          <w:lang w:eastAsia="ru-RU"/>
        </w:rPr>
        <w:t>8-800-220-2002</w:t>
      </w:r>
      <w:r w:rsidR="009236AE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 xml:space="preserve">. </w:t>
      </w:r>
      <w:r w:rsidRPr="00A22C30">
        <w:rPr>
          <w:rFonts w:ascii="Times New Roman" w:eastAsia="Times New Roman" w:hAnsi="Times New Roman" w:cs="Times New Roman"/>
          <w:color w:val="000000"/>
          <w:sz w:val="27"/>
          <w:szCs w:val="28"/>
          <w:bdr w:val="none" w:sz="0" w:space="0" w:color="auto" w:frame="1"/>
          <w:lang w:eastAsia="ru-RU"/>
        </w:rPr>
        <w:t>Подробную информацию о «цифровом телевидении» можно найти на специализированном сайте РТРС: </w:t>
      </w:r>
      <w:r w:rsidRPr="00A22C30">
        <w:rPr>
          <w:rFonts w:ascii="Times New Roman" w:hAnsi="Times New Roman" w:cs="Times New Roman"/>
          <w:b/>
          <w:sz w:val="27"/>
          <w:szCs w:val="28"/>
          <w:u w:val="single"/>
        </w:rPr>
        <w:t xml:space="preserve">ртрс.рф. </w:t>
      </w:r>
    </w:p>
    <w:sectPr w:rsidR="00C2765F" w:rsidRPr="009236AE" w:rsidSect="009236AE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7103"/>
    <w:multiLevelType w:val="hybridMultilevel"/>
    <w:tmpl w:val="5240D6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E944E02"/>
    <w:multiLevelType w:val="hybridMultilevel"/>
    <w:tmpl w:val="EFD8E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10"/>
    <w:rsid w:val="0000463E"/>
    <w:rsid w:val="00120961"/>
    <w:rsid w:val="00187B3D"/>
    <w:rsid w:val="00235AD6"/>
    <w:rsid w:val="003D5F5F"/>
    <w:rsid w:val="003F11E6"/>
    <w:rsid w:val="004D7515"/>
    <w:rsid w:val="004F13E0"/>
    <w:rsid w:val="00520DD1"/>
    <w:rsid w:val="00550A11"/>
    <w:rsid w:val="00634410"/>
    <w:rsid w:val="0064528D"/>
    <w:rsid w:val="00667320"/>
    <w:rsid w:val="00693DFD"/>
    <w:rsid w:val="0072755D"/>
    <w:rsid w:val="007A7BE8"/>
    <w:rsid w:val="00800EE3"/>
    <w:rsid w:val="00886A34"/>
    <w:rsid w:val="008D0B74"/>
    <w:rsid w:val="009034B4"/>
    <w:rsid w:val="009236AE"/>
    <w:rsid w:val="009953D3"/>
    <w:rsid w:val="00A22C30"/>
    <w:rsid w:val="00B25640"/>
    <w:rsid w:val="00B93B3A"/>
    <w:rsid w:val="00C05C98"/>
    <w:rsid w:val="00C2765F"/>
    <w:rsid w:val="00C7481A"/>
    <w:rsid w:val="00C92657"/>
    <w:rsid w:val="00CC2EDD"/>
    <w:rsid w:val="00D11C12"/>
    <w:rsid w:val="00D1591D"/>
    <w:rsid w:val="00D41E4F"/>
    <w:rsid w:val="00D642CB"/>
    <w:rsid w:val="00D72BC2"/>
    <w:rsid w:val="00D92D0A"/>
    <w:rsid w:val="00E60AB4"/>
    <w:rsid w:val="00EF7D87"/>
    <w:rsid w:val="00F7340B"/>
    <w:rsid w:val="00F74908"/>
    <w:rsid w:val="00F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6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5C98"/>
    <w:pPr>
      <w:ind w:left="720"/>
      <w:contextualSpacing/>
    </w:pPr>
  </w:style>
  <w:style w:type="paragraph" w:customStyle="1" w:styleId="paragraph">
    <w:name w:val="paragraph"/>
    <w:basedOn w:val="a"/>
    <w:rsid w:val="004F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F13E0"/>
  </w:style>
  <w:style w:type="character" w:customStyle="1" w:styleId="eop">
    <w:name w:val="eop"/>
    <w:basedOn w:val="a0"/>
    <w:rsid w:val="004F13E0"/>
  </w:style>
  <w:style w:type="paragraph" w:styleId="a5">
    <w:name w:val="Balloon Text"/>
    <w:basedOn w:val="a"/>
    <w:link w:val="a6"/>
    <w:uiPriority w:val="99"/>
    <w:semiHidden/>
    <w:unhideWhenUsed/>
    <w:rsid w:val="00C9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6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5C98"/>
    <w:pPr>
      <w:ind w:left="720"/>
      <w:contextualSpacing/>
    </w:pPr>
  </w:style>
  <w:style w:type="paragraph" w:customStyle="1" w:styleId="paragraph">
    <w:name w:val="paragraph"/>
    <w:basedOn w:val="a"/>
    <w:rsid w:val="004F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F13E0"/>
  </w:style>
  <w:style w:type="character" w:customStyle="1" w:styleId="eop">
    <w:name w:val="eop"/>
    <w:basedOn w:val="a0"/>
    <w:rsid w:val="004F13E0"/>
  </w:style>
  <w:style w:type="paragraph" w:styleId="a5">
    <w:name w:val="Balloon Text"/>
    <w:basedOn w:val="a"/>
    <w:link w:val="a6"/>
    <w:uiPriority w:val="99"/>
    <w:semiHidden/>
    <w:unhideWhenUsed/>
    <w:rsid w:val="00C9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0%D0%BA%D1%81%D0%B8%D0%B0%D0%BB%D1%8C%D0%BD%D1%8B%D0%B9_%D0%BA%D0%B0%D0%B1%D0%B5%D0%BB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F%D1%83%D1%82%D0%BD%D0%B8%D0%BA%D0%BE%D0%B2%D1%8B%D0%B9_%D0%BA%D0%BE%D0%BD%D0%B2%D0%B5%D1%80%D1%82%D0%B5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1%83%D1%82%D0%BD%D0%B8%D0%BA%D0%BE%D0%B2%D0%B0%D1%8F_%D0%B0%D0%BD%D1%82%D0%B5%D0%BD%D0%BD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zadvornova</cp:lastModifiedBy>
  <cp:revision>3</cp:revision>
  <cp:lastPrinted>2019-03-11T13:18:00Z</cp:lastPrinted>
  <dcterms:created xsi:type="dcterms:W3CDTF">2019-03-11T14:56:00Z</dcterms:created>
  <dcterms:modified xsi:type="dcterms:W3CDTF">2019-03-12T06:49:00Z</dcterms:modified>
</cp:coreProperties>
</file>