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32BEF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  <w:r>
        <w:rPr>
          <w:rFonts w:hint="default" w:ascii="Tahoma" w:hAnsi="Tahoma" w:eastAsia="Tahoma"/>
          <w:sz w:val="20"/>
          <w:szCs w:val="24"/>
        </w:rPr>
        <w:t xml:space="preserve">Документ предоставлен </w:t>
      </w:r>
      <w:r>
        <w:rPr>
          <w:rFonts w:hint="default" w:ascii="Tahoma" w:hAnsi="Tahoma" w:eastAsia="Tahoma"/>
          <w:sz w:val="20"/>
          <w:szCs w:val="24"/>
        </w:rPr>
        <w:fldChar w:fldCharType="begin"/>
      </w:r>
      <w:r>
        <w:rPr>
          <w:rFonts w:hint="default" w:ascii="Tahoma" w:hAnsi="Tahoma" w:eastAsia="Tahoma"/>
          <w:sz w:val="20"/>
          <w:szCs w:val="24"/>
        </w:rPr>
        <w:instrText xml:space="preserve">HYPERLINK https://www.consultant.ru </w:instrText>
      </w:r>
      <w:r>
        <w:rPr>
          <w:rFonts w:hint="default" w:ascii="Tahoma" w:hAnsi="Tahoma" w:eastAsia="Tahoma"/>
          <w:sz w:val="20"/>
          <w:szCs w:val="24"/>
        </w:rPr>
        <w:fldChar w:fldCharType="separate"/>
      </w:r>
      <w:r>
        <w:rPr>
          <w:rFonts w:hint="default" w:ascii="Tahoma" w:hAnsi="Tahoma" w:eastAsia="Tahoma"/>
          <w:color w:val="0000FF"/>
          <w:sz w:val="20"/>
          <w:szCs w:val="24"/>
        </w:rPr>
        <w:t>КонсультантПлюс</w:t>
      </w:r>
      <w:r>
        <w:rPr>
          <w:rFonts w:hint="default" w:ascii="Tahoma" w:hAnsi="Tahoma" w:eastAsia="Tahoma"/>
          <w:color w:val="0000FF"/>
          <w:sz w:val="20"/>
          <w:szCs w:val="24"/>
        </w:rPr>
        <w:fldChar w:fldCharType="end"/>
      </w:r>
    </w:p>
    <w:p w14:paraId="00A7DDFA">
      <w:pPr>
        <w:spacing w:beforeLines="0" w:afterLines="0"/>
        <w:jc w:val="left"/>
        <w:rPr>
          <w:rFonts w:hint="default" w:ascii="Tahoma" w:hAnsi="Tahoma" w:eastAsia="Tahoma"/>
          <w:sz w:val="20"/>
          <w:szCs w:val="24"/>
        </w:rPr>
      </w:pPr>
    </w:p>
    <w:p w14:paraId="2256EADF">
      <w:pPr>
        <w:spacing w:beforeLines="0" w:afterLines="0"/>
        <w:outlineLvl w:val="0"/>
        <w:rPr>
          <w:rFonts w:hint="default" w:ascii="Arial" w:hAnsi="Arial"/>
          <w:sz w:val="20"/>
          <w:szCs w:val="24"/>
        </w:rPr>
      </w:pPr>
    </w:p>
    <w:p w14:paraId="25C2AAE8">
      <w:pPr>
        <w:spacing w:beforeLines="0" w:afterLines="0"/>
        <w:jc w:val="left"/>
        <w:outlineLvl w:val="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Зарегистрировано в Минюсте России 25 ноября 2021 г. N 65973</w:t>
      </w:r>
    </w:p>
    <w:p w14:paraId="24029367">
      <w:pPr>
        <w:pBdr>
          <w:top w:val="single" w:color="auto" w:sz="6" w:space="0"/>
        </w:pBdr>
        <w:spacing w:before="100" w:beforeLines="0" w:after="100" w:afterLines="0"/>
        <w:rPr>
          <w:rFonts w:hint="default" w:ascii="Arial" w:hAnsi="Arial"/>
          <w:sz w:val="0"/>
          <w:szCs w:val="24"/>
        </w:rPr>
      </w:pPr>
    </w:p>
    <w:p w14:paraId="3164647E">
      <w:pPr>
        <w:spacing w:beforeLines="0" w:afterLines="0"/>
        <w:rPr>
          <w:rFonts w:hint="default" w:ascii="Arial" w:hAnsi="Arial"/>
          <w:sz w:val="20"/>
          <w:szCs w:val="24"/>
        </w:rPr>
      </w:pPr>
    </w:p>
    <w:p w14:paraId="28CD3E48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МИНИСТЕРСТВО ТРУДА И СОЦИАЛЬНОЙ ЗАЩИТЫ РОССИЙСКОЙ ФЕДЕРАЦИИ</w:t>
      </w:r>
    </w:p>
    <w:p w14:paraId="1463A2D4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</w:p>
    <w:p w14:paraId="7373EA2D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ПРИКАЗ</w:t>
      </w:r>
    </w:p>
    <w:p w14:paraId="20A284FF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от 14 сентября 2021 г. N 629н</w:t>
      </w:r>
    </w:p>
    <w:p w14:paraId="344849E0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</w:p>
    <w:p w14:paraId="07070083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ОБ УТВЕРЖДЕНИИ ПРЕДЕЛЬНО ДОПУСТИМЫХ НОРМ</w:t>
      </w:r>
    </w:p>
    <w:p w14:paraId="2799F1E1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НАГРУЗОК ДЛЯ ЖЕНЩИН ПРИ ПОДЪЕМЕ И ПЕРЕМЕЩЕНИИ</w:t>
      </w:r>
    </w:p>
    <w:p w14:paraId="5238B5A5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ТЯЖЕСТЕЙ ВРУЧНУЮ</w:t>
      </w:r>
    </w:p>
    <w:p w14:paraId="4DF2C8BD">
      <w:pPr>
        <w:spacing w:beforeLines="0" w:afterLines="0"/>
        <w:rPr>
          <w:rFonts w:hint="default" w:ascii="Arial" w:hAnsi="Arial"/>
          <w:sz w:val="20"/>
          <w:szCs w:val="24"/>
        </w:rPr>
      </w:pPr>
    </w:p>
    <w:p w14:paraId="1AEA1392">
      <w:pPr>
        <w:spacing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В соответствии со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https://login.consultant.ru/link/?req=doc&amp;base=LAW&amp;n=502632&amp;dst=101602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статьей 253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https://login.consultant.ru/link/?req=doc&amp;base=LAW&amp;n=502099&amp;dst=100040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подпунктом 5.2.22 пункта 5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14:paraId="15F00C50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 xml:space="preserve">1. Утвердить предельно допустимые нормы нагрузок для женщин при подъеме и перемещении тяжестей вручную согласно </w:t>
      </w:r>
      <w:r>
        <w:rPr>
          <w:rFonts w:hint="default" w:ascii="Arial" w:hAnsi="Arial"/>
          <w:sz w:val="20"/>
          <w:szCs w:val="24"/>
        </w:rPr>
        <w:fldChar w:fldCharType="begin"/>
      </w:r>
      <w:r>
        <w:rPr>
          <w:rFonts w:hint="default" w:ascii="Arial" w:hAnsi="Arial"/>
          <w:sz w:val="20"/>
          <w:szCs w:val="24"/>
        </w:rPr>
        <w:instrText xml:space="preserve">HYPERLINK \l Par30  </w:instrText>
      </w:r>
      <w:r>
        <w:rPr>
          <w:rFonts w:hint="default" w:ascii="Arial" w:hAnsi="Arial"/>
          <w:sz w:val="20"/>
          <w:szCs w:val="24"/>
        </w:rPr>
        <w:fldChar w:fldCharType="separate"/>
      </w:r>
      <w:r>
        <w:rPr>
          <w:rFonts w:hint="default" w:ascii="Arial" w:hAnsi="Arial"/>
          <w:color w:val="0000FF"/>
          <w:sz w:val="20"/>
          <w:szCs w:val="24"/>
        </w:rPr>
        <w:t>приложению</w:t>
      </w:r>
      <w:r>
        <w:rPr>
          <w:rFonts w:hint="default" w:ascii="Arial" w:hAnsi="Arial"/>
          <w:color w:val="0000FF"/>
          <w:sz w:val="20"/>
          <w:szCs w:val="24"/>
        </w:rPr>
        <w:fldChar w:fldCharType="end"/>
      </w:r>
      <w:r>
        <w:rPr>
          <w:rFonts w:hint="default" w:ascii="Arial" w:hAnsi="Arial"/>
          <w:sz w:val="20"/>
          <w:szCs w:val="24"/>
        </w:rPr>
        <w:t>.</w:t>
      </w:r>
    </w:p>
    <w:p w14:paraId="3BB52D45">
      <w:pPr>
        <w:spacing w:before="200" w:beforeLines="0" w:afterLines="0"/>
        <w:ind w:firstLine="54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2. Установить, что настоящий приказ вступает в силу с 1 марта 2022 г. и действует до 1 марта 2028 года.</w:t>
      </w:r>
    </w:p>
    <w:p w14:paraId="18EED5B8">
      <w:pPr>
        <w:spacing w:beforeLines="0" w:afterLines="0"/>
        <w:rPr>
          <w:rFonts w:hint="default" w:ascii="Arial" w:hAnsi="Arial"/>
          <w:sz w:val="20"/>
          <w:szCs w:val="24"/>
        </w:rPr>
      </w:pPr>
    </w:p>
    <w:p w14:paraId="459BBF5F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Министр</w:t>
      </w:r>
    </w:p>
    <w:p w14:paraId="49E050AA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А.О.КОТЯКОВ</w:t>
      </w:r>
    </w:p>
    <w:p w14:paraId="036BEDE2">
      <w:pPr>
        <w:spacing w:beforeLines="0" w:afterLines="0"/>
        <w:rPr>
          <w:rFonts w:hint="default" w:ascii="Arial" w:hAnsi="Arial"/>
          <w:sz w:val="20"/>
          <w:szCs w:val="24"/>
        </w:rPr>
      </w:pPr>
    </w:p>
    <w:p w14:paraId="2F39088E">
      <w:pPr>
        <w:spacing w:beforeLines="0" w:afterLines="0"/>
        <w:rPr>
          <w:rFonts w:hint="default" w:ascii="Arial" w:hAnsi="Arial"/>
          <w:sz w:val="20"/>
          <w:szCs w:val="24"/>
        </w:rPr>
      </w:pPr>
    </w:p>
    <w:p w14:paraId="5268D347">
      <w:pPr>
        <w:spacing w:beforeLines="0" w:afterLines="0"/>
        <w:rPr>
          <w:rFonts w:hint="default" w:ascii="Arial" w:hAnsi="Arial"/>
          <w:sz w:val="20"/>
          <w:szCs w:val="24"/>
        </w:rPr>
      </w:pPr>
    </w:p>
    <w:p w14:paraId="7F52A2C4">
      <w:pPr>
        <w:spacing w:beforeLines="0" w:afterLines="0"/>
        <w:rPr>
          <w:rFonts w:hint="default" w:ascii="Arial" w:hAnsi="Arial"/>
          <w:sz w:val="20"/>
          <w:szCs w:val="24"/>
        </w:rPr>
      </w:pPr>
    </w:p>
    <w:p w14:paraId="2C0D6D2F">
      <w:pPr>
        <w:spacing w:beforeLines="0" w:afterLines="0"/>
        <w:rPr>
          <w:rFonts w:hint="default" w:ascii="Arial" w:hAnsi="Arial"/>
          <w:sz w:val="20"/>
          <w:szCs w:val="24"/>
        </w:rPr>
      </w:pPr>
    </w:p>
    <w:p w14:paraId="04394BFC">
      <w:pPr>
        <w:spacing w:beforeLines="0" w:afterLines="0"/>
        <w:jc w:val="right"/>
        <w:outlineLvl w:val="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Приложение</w:t>
      </w:r>
    </w:p>
    <w:p w14:paraId="4C0F4DFA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к приказу Министерства труда</w:t>
      </w:r>
    </w:p>
    <w:p w14:paraId="6A39035A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и социальной защиты</w:t>
      </w:r>
    </w:p>
    <w:p w14:paraId="79F3B88D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Российской Федерации</w:t>
      </w:r>
    </w:p>
    <w:p w14:paraId="06911A8C">
      <w:pPr>
        <w:spacing w:beforeLines="0" w:afterLines="0"/>
        <w:jc w:val="right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от 14 сентября 2021 г. N 629н</w:t>
      </w:r>
    </w:p>
    <w:p w14:paraId="4445F661">
      <w:pPr>
        <w:spacing w:beforeLines="0" w:afterLines="0"/>
        <w:rPr>
          <w:rFonts w:hint="default" w:ascii="Arial" w:hAnsi="Arial"/>
          <w:sz w:val="20"/>
          <w:szCs w:val="24"/>
        </w:rPr>
      </w:pPr>
    </w:p>
    <w:p w14:paraId="1C06598B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bookmarkStart w:id="0" w:name="Par30"/>
      <w:bookmarkEnd w:id="0"/>
      <w:r>
        <w:rPr>
          <w:rFonts w:hint="default" w:ascii="Arial" w:hAnsi="Arial"/>
          <w:b/>
          <w:sz w:val="20"/>
          <w:szCs w:val="24"/>
        </w:rPr>
        <w:t>ПРЕДЕЛЬНО ДОПУСТИМЫЕ НОРМЫ</w:t>
      </w:r>
    </w:p>
    <w:p w14:paraId="0A4A6ED2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НАГРУЗОК ДЛЯ ЖЕНЩИН ПРИ ПОДЪЕМЕ И ПЕРЕМЕЩЕНИИ</w:t>
      </w:r>
    </w:p>
    <w:p w14:paraId="3C0155C7">
      <w:pPr>
        <w:spacing w:beforeLines="0" w:afterLines="0"/>
        <w:jc w:val="center"/>
        <w:rPr>
          <w:rFonts w:hint="default" w:ascii="Arial" w:hAnsi="Arial"/>
          <w:b/>
          <w:sz w:val="20"/>
          <w:szCs w:val="24"/>
        </w:rPr>
      </w:pPr>
      <w:r>
        <w:rPr>
          <w:rFonts w:hint="default" w:ascii="Arial" w:hAnsi="Arial"/>
          <w:b/>
          <w:sz w:val="20"/>
          <w:szCs w:val="24"/>
        </w:rPr>
        <w:t>ТЯЖЕСТЕЙ ВРУЧНУЮ</w:t>
      </w:r>
    </w:p>
    <w:p w14:paraId="20286288">
      <w:pPr>
        <w:spacing w:beforeLines="0" w:afterLines="0"/>
        <w:rPr>
          <w:rFonts w:hint="default" w:ascii="Arial" w:hAnsi="Arial"/>
          <w:sz w:val="20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18"/>
        <w:gridCol w:w="2551"/>
      </w:tblGrid>
      <w:tr w14:paraId="16E7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9EDAD6"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Характер работы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5B1E90"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Предельно допустимая масса груза (включая массу тары и упаковки)</w:t>
            </w:r>
          </w:p>
        </w:tc>
      </w:tr>
      <w:tr w14:paraId="154F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B3123D">
            <w:pPr>
              <w:spacing w:beforeLines="0" w:afterLines="0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Подъем и перемещение тяжестей при чередовании с другой работой (до 2 раз в час)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B67283"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10 кг</w:t>
            </w:r>
          </w:p>
        </w:tc>
      </w:tr>
      <w:tr w14:paraId="4C75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1A26CD">
            <w:pPr>
              <w:spacing w:beforeLines="0" w:afterLines="0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Подъем и перемещение тяжестей постоянно в течение рабочей смены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389881"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7 кг</w:t>
            </w:r>
          </w:p>
        </w:tc>
      </w:tr>
      <w:tr w14:paraId="03E5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5FA126">
            <w:pPr>
              <w:spacing w:beforeLines="0" w:afterLines="0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Суммарная масса грузов, перемещаемых в течение каждого часа рабочего дня (смены), не должна превышать: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BF33DF">
            <w:pPr>
              <w:spacing w:beforeLines="0" w:afterLines="0"/>
              <w:jc w:val="left"/>
              <w:rPr>
                <w:rFonts w:hint="default" w:ascii="Arial" w:hAnsi="Arial"/>
                <w:sz w:val="20"/>
                <w:szCs w:val="24"/>
              </w:rPr>
            </w:pPr>
          </w:p>
        </w:tc>
      </w:tr>
      <w:tr w14:paraId="21E4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1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AA54F0D">
            <w:pPr>
              <w:spacing w:beforeLines="0" w:afterLines="0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 рабочей поверхности</w:t>
            </w: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E787CE"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350 кг</w:t>
            </w:r>
          </w:p>
        </w:tc>
      </w:tr>
      <w:tr w14:paraId="27FD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3056AA">
            <w:pPr>
              <w:spacing w:beforeLines="0" w:afterLines="0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с пола</w:t>
            </w: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CC7DEF"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175 кг</w:t>
            </w:r>
          </w:p>
        </w:tc>
      </w:tr>
      <w:tr w14:paraId="00F8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7C1902">
            <w:pPr>
              <w:spacing w:beforeLines="0" w:afterLines="0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Разовый подъем тяжестей (без перемещения)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07D88A">
            <w:pPr>
              <w:spacing w:beforeLines="0" w:afterLines="0"/>
              <w:jc w:val="center"/>
              <w:rPr>
                <w:rFonts w:hint="default" w:ascii="Arial" w:hAnsi="Arial"/>
                <w:sz w:val="20"/>
                <w:szCs w:val="24"/>
              </w:rPr>
            </w:pPr>
            <w:r>
              <w:rPr>
                <w:rFonts w:hint="default" w:ascii="Arial" w:hAnsi="Arial"/>
                <w:sz w:val="20"/>
                <w:szCs w:val="24"/>
              </w:rPr>
              <w:t>15 кг</w:t>
            </w:r>
          </w:p>
        </w:tc>
      </w:tr>
    </w:tbl>
    <w:p w14:paraId="6475BDC9">
      <w:pPr>
        <w:spacing w:beforeLines="0" w:afterLines="0"/>
        <w:rPr>
          <w:rFonts w:hint="default" w:ascii="Arial" w:hAnsi="Arial"/>
          <w:sz w:val="20"/>
          <w:szCs w:val="24"/>
        </w:rPr>
      </w:pPr>
      <w:r>
        <w:rPr>
          <w:rFonts w:hint="default" w:ascii="Arial" w:hAnsi="Arial"/>
          <w:sz w:val="20"/>
          <w:szCs w:val="24"/>
        </w:rPr>
        <w:t>При перемещении грузов на тележках или в контейнерах прилагаемое усилие не должно превышать 10 кгс.</w:t>
      </w:r>
    </w:p>
    <w:p w14:paraId="298F3E41">
      <w:pPr>
        <w:spacing w:beforeLines="0" w:afterLines="0"/>
        <w:rPr>
          <w:rFonts w:hint="default" w:ascii="Arial" w:hAnsi="Arial"/>
          <w:sz w:val="20"/>
          <w:szCs w:val="24"/>
        </w:rPr>
      </w:pPr>
    </w:p>
    <w:p w14:paraId="60F38A24">
      <w:pPr>
        <w:pBdr>
          <w:top w:val="single" w:color="auto" w:sz="6" w:space="0"/>
        </w:pBdr>
        <w:spacing w:before="100" w:beforeLines="0" w:after="100" w:afterLines="0"/>
        <w:rPr>
          <w:rFonts w:hint="default" w:ascii="Arial" w:hAnsi="Arial"/>
          <w:sz w:val="0"/>
          <w:szCs w:val="24"/>
        </w:rPr>
      </w:pPr>
    </w:p>
    <w:p w14:paraId="059DAC91">
      <w:bookmarkStart w:id="1" w:name="_GoBack"/>
      <w:bookmarkEnd w:id="1"/>
    </w:p>
    <w:sectPr>
      <w:pgSz w:w="11906" w:h="16838"/>
      <w:pgMar w:top="1440" w:right="566" w:bottom="1440" w:left="113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87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2025-05-22T07:33:56Z</dcterms:created>
  <dc:creator>Владелец</dc:creator>
  <cp:lastModifiedBy>Владелец</cp:lastModifiedBy>
  <dcterms:modified xsi:type="dcterms:W3CDTF">2025-05-22T07:34:07Z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C7BC682BFB084F15AFE4D8D482F6EB26_12</vt:lpwstr>
  </property>
</Properties>
</file>