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8" w:rsidRDefault="001F7F08" w:rsidP="001F7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sz w:val="24"/>
          <w:szCs w:val="24"/>
          <w:lang w:eastAsia="ru-RU"/>
        </w:rPr>
        <w:t>Учебный предмет «Сольфеджио»</w:t>
      </w:r>
    </w:p>
    <w:p w:rsidR="001F7F08" w:rsidRPr="001F7F08" w:rsidRDefault="001F7F08" w:rsidP="001F7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Характеристика учебного предмета, его место и роль в образовательном процессе</w:t>
      </w:r>
    </w:p>
    <w:p w:rsid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«Сольфеджио»  разработана  на  основе  и  с  учетом  федеральных  государственных 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 к  дополнительной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предпрофессиональ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в  области  музы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>кального  искусства  «Струнные инструменты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1F7F08">
        <w:rPr>
          <w:rFonts w:ascii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 и навыки должны помогать ученикам в их занятиях на инструменте, а также в изучении других учебных предметов.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Срок реализации</w:t>
      </w:r>
      <w:r w:rsidRPr="001F7F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Объем учебного времени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предусмотренный учебным планом 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МБУ ДО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«ДМШ № 36» на реализацию учебного предмета </w:t>
      </w:r>
      <w:r w:rsidRPr="001F7F0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«Сольфеджио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134"/>
      </w:tblGrid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1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378, 5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</w:tr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1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1F7F08" w:rsidRDefault="001F7F08" w:rsidP="001F7F0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Форма проведения учебных аудиторных занятий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: мелкогрупповая (от  4 до 10  человек), рекомендуемая продолжительность урока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: 1 класс- 1,0</w:t>
      </w:r>
      <w:r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час</w:t>
      </w:r>
      <w:r w:rsidRPr="001F7F08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, 2-8</w:t>
      </w:r>
      <w:r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F7F08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(9) классы - 1,5 часа.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Цель и задачи предмета «Сольфеджио»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музыкально-творческих способностей </w:t>
      </w:r>
      <w:bookmarkStart w:id="0" w:name="_GoBack"/>
      <w:bookmarkEnd w:id="0"/>
      <w:r w:rsidR="003B7629" w:rsidRPr="001F7F08">
        <w:rPr>
          <w:rFonts w:ascii="Times New Roman" w:hAnsi="Times New Roman" w:cs="Times New Roman"/>
          <w:sz w:val="24"/>
          <w:szCs w:val="24"/>
          <w:lang w:eastAsia="ru-RU"/>
        </w:rPr>
        <w:t>учащегося,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hAnsi="Times New Roman" w:cs="Times New Roman"/>
          <w:sz w:val="24"/>
          <w:szCs w:val="24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 с музыкальным материалом;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учреждения. </w:t>
      </w:r>
    </w:p>
    <w:p w:rsidR="001F7F08" w:rsidRPr="001F7F08" w:rsidRDefault="001F7F08" w:rsidP="001F7F08">
      <w:pPr>
        <w:pStyle w:val="a3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6. Обоснование структуры программы учебного предмета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Helvetica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Helvetica" w:hAnsi="Times New Roman" w:cs="Times New Roman"/>
          <w:b/>
          <w:i/>
          <w:kern w:val="1"/>
          <w:sz w:val="24"/>
          <w:szCs w:val="24"/>
          <w:lang w:eastAsia="hi-IN" w:bidi="hi-IN"/>
        </w:rPr>
        <w:lastRenderedPageBreak/>
        <w:t>Программа содержит  следующие разделы: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>- 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сведения о затратах учебного времени, предусмотренного на освоение</w:t>
      </w:r>
      <w:r>
        <w:rPr>
          <w:rFonts w:ascii="Times New Roman" w:eastAsia="Geeza Pro" w:hAnsi="Times New Roman" w:cs="Times New Roman"/>
          <w:sz w:val="24"/>
          <w:szCs w:val="24"/>
        </w:rPr>
        <w:t xml:space="preserve">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учебного предмета;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1F7F08">
        <w:rPr>
          <w:rFonts w:ascii="Times New Roman" w:eastAsia="Geeza Pro" w:hAnsi="Times New Roman" w:cs="Times New Roman"/>
          <w:sz w:val="24"/>
          <w:szCs w:val="24"/>
        </w:rPr>
        <w:t>обучающихся</w:t>
      </w:r>
      <w:proofErr w:type="gramEnd"/>
      <w:r w:rsidRPr="001F7F08">
        <w:rPr>
          <w:rFonts w:ascii="Times New Roman" w:eastAsia="Geeza Pro" w:hAnsi="Times New Roman" w:cs="Times New Roman"/>
          <w:sz w:val="24"/>
          <w:szCs w:val="24"/>
        </w:rPr>
        <w:t>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методическое обеспечение учебного процесса.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Geeza Pro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eastAsia="Geeza Pro" w:hAnsi="Times New Roman" w:cs="Times New Roman"/>
          <w:sz w:val="24"/>
          <w:szCs w:val="24"/>
          <w:lang w:eastAsia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F7F08" w:rsidRPr="001F7F08" w:rsidRDefault="001F7F08" w:rsidP="001F7F08">
      <w:pPr>
        <w:pStyle w:val="a3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7. Описание материально-технических условий реализации учебного предмета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Geeza Pro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eastAsia="Geeza Pro" w:hAnsi="Times New Roman" w:cs="Times New Roman"/>
          <w:sz w:val="24"/>
          <w:szCs w:val="24"/>
          <w:lang w:eastAsia="ru-RU"/>
        </w:rPr>
        <w:t>Материально-техническая база</w:t>
      </w:r>
      <w:r>
        <w:rPr>
          <w:rFonts w:ascii="Times New Roman" w:eastAsia="Geeza Pro" w:hAnsi="Times New Roman" w:cs="Times New Roman"/>
          <w:sz w:val="24"/>
          <w:szCs w:val="24"/>
          <w:lang w:eastAsia="ru-RU"/>
        </w:rPr>
        <w:t xml:space="preserve"> МБУ ДО</w:t>
      </w:r>
      <w:r w:rsidRPr="001F7F08">
        <w:rPr>
          <w:rFonts w:ascii="Times New Roman" w:eastAsia="Geeza Pro" w:hAnsi="Times New Roman" w:cs="Times New Roman"/>
          <w:sz w:val="24"/>
          <w:szCs w:val="24"/>
          <w:lang w:eastAsia="ru-RU"/>
        </w:rPr>
        <w:t xml:space="preserve"> «ДМШ № 36» соответствует санитарным и противопожарным нормам, нормам охраны труда.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Библиотечный фонд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 укомплектован печатными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F7F08">
        <w:rPr>
          <w:rFonts w:ascii="Times New Roman" w:hAnsi="Times New Roman" w:cs="Times New Roman"/>
          <w:sz w:val="24"/>
          <w:szCs w:val="24"/>
          <w:lang w:eastAsia="ru-RU"/>
        </w:rPr>
        <w:t>Учебные аудитории, предназначенные для реализации учебного предмета «Сольфеджио»,  оснащены  пианино, учебной мебелью (досками, столами, стульями, стеллажами, шкафами) и оформляются наглядными пособиями.</w:t>
      </w:r>
      <w:proofErr w:type="gramEnd"/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Учебные аудитории имеют звукоизоляцию.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8. </w:t>
      </w:r>
      <w:r w:rsidRPr="001F7F08">
        <w:rPr>
          <w:rFonts w:ascii="Times New Roman" w:hAnsi="Times New Roman" w:cs="Times New Roman"/>
          <w:b/>
          <w:bCs/>
          <w:i/>
          <w:sz w:val="24"/>
          <w:szCs w:val="24"/>
          <w:lang w:val="x-none"/>
        </w:rPr>
        <w:t>Оснащение занятий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1F7F08">
        <w:rPr>
          <w:rFonts w:ascii="Times New Roman" w:hAnsi="Times New Roman" w:cs="Times New Roman"/>
          <w:sz w:val="24"/>
          <w:szCs w:val="24"/>
          <w:lang w:eastAsia="ru-RU"/>
        </w:rPr>
        <w:t>сольфеджирования</w:t>
      </w:r>
      <w:proofErr w:type="spellEnd"/>
      <w:r w:rsidRPr="001F7F08">
        <w:rPr>
          <w:rFonts w:ascii="Times New Roman" w:hAnsi="Times New Roman" w:cs="Times New Roman"/>
          <w:sz w:val="24"/>
          <w:szCs w:val="24"/>
          <w:lang w:eastAsia="ru-RU"/>
        </w:rPr>
        <w:t>, сборников диктантов, а также разрабатывается педагогом самостоятельно.</w:t>
      </w:r>
    </w:p>
    <w:p w:rsidR="00C1456C" w:rsidRPr="001F7F08" w:rsidRDefault="00C1456C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F8F" w:rsidRPr="001F7F08" w:rsidRDefault="00EA4F8F" w:rsidP="001F7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A4F8F" w:rsidRPr="001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C"/>
    <w:rsid w:val="001F7F08"/>
    <w:rsid w:val="003B7629"/>
    <w:rsid w:val="00C1456C"/>
    <w:rsid w:val="00E7641C"/>
    <w:rsid w:val="00E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4232</Characters>
  <Application>Microsoft Office Word</Application>
  <DocSecurity>0</DocSecurity>
  <Lines>35</Lines>
  <Paragraphs>9</Paragraphs>
  <ScaleCrop>false</ScaleCrop>
  <Company>diakov.net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ААА</cp:lastModifiedBy>
  <cp:revision>4</cp:revision>
  <dcterms:created xsi:type="dcterms:W3CDTF">2018-05-22T14:49:00Z</dcterms:created>
  <dcterms:modified xsi:type="dcterms:W3CDTF">2018-05-23T17:33:00Z</dcterms:modified>
</cp:coreProperties>
</file>