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A4" w:rsidRPr="00B970A4" w:rsidRDefault="00B970A4" w:rsidP="00B970A4">
      <w:pPr>
        <w:pStyle w:val="a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Учебный предмет «Слушание музыки»</w:t>
      </w:r>
    </w:p>
    <w:p w:rsid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1. Характеристика учебного предмета, его место и роль в образовательном процессе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 «Слушание музыки» разработана на основе с учетом федеральных государстве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>нных требований к дополнительной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предпрофессиональной  программе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>в обла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сти </w:t>
      </w:r>
      <w:r w:rsidR="0080480D">
        <w:rPr>
          <w:rFonts w:ascii="Times New Roman" w:hAnsi="Times New Roman" w:cs="Times New Roman"/>
          <w:sz w:val="24"/>
          <w:szCs w:val="24"/>
          <w:lang w:val="ru-RU"/>
        </w:rPr>
        <w:t>музыкального искусства «Духовые и ударные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0C6F">
        <w:rPr>
          <w:rFonts w:ascii="Times New Roman" w:hAnsi="Times New Roman" w:cs="Times New Roman"/>
          <w:sz w:val="24"/>
          <w:szCs w:val="24"/>
          <w:lang w:val="ru-RU"/>
        </w:rPr>
        <w:t>инструменты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 восприятия музыкальных произведений, приобретение детьми опыта творческого взаимодействия в коллективе.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B970A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и ориентирована на: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развитие художественных способностей детей и формирование у обучающихся  потребности общения с явлениями музыкального искусства;</w:t>
      </w:r>
      <w:proofErr w:type="gramEnd"/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1B1B81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2. Срок реализации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70A4" w:rsidRPr="00B970A4" w:rsidRDefault="001B1B81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16"/>
          <w:lang w:val="ru-RU"/>
        </w:rPr>
        <w:t>Срок освоения программы «Слушание музыки</w:t>
      </w:r>
      <w:r w:rsidRPr="001B1B81">
        <w:rPr>
          <w:rStyle w:val="FontStyle16"/>
          <w:lang w:val="ru-RU"/>
        </w:rPr>
        <w:t>» для детей, поступивших в МБУ ДО «ДМШ № 36» в первый класс в возрасте с шести л</w:t>
      </w:r>
      <w:r>
        <w:rPr>
          <w:rStyle w:val="FontStyle16"/>
          <w:lang w:val="ru-RU"/>
        </w:rPr>
        <w:t xml:space="preserve">ет шести месяцев до девяти лет </w:t>
      </w:r>
      <w:bookmarkStart w:id="0" w:name="_GoBack"/>
      <w:bookmarkEnd w:id="0"/>
      <w:r w:rsidR="00FA00C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3 года.</w:t>
      </w:r>
    </w:p>
    <w:p w:rsidR="00B970A4" w:rsidRPr="003E11EC" w:rsidRDefault="00B970A4" w:rsidP="00B970A4">
      <w:pPr>
        <w:pStyle w:val="a9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3. Объем учебного времени и виды учебной работы</w:t>
      </w:r>
    </w:p>
    <w:tbl>
      <w:tblPr>
        <w:tblStyle w:val="a6"/>
        <w:tblW w:w="9571" w:type="dxa"/>
        <w:jc w:val="center"/>
        <w:tblInd w:w="1654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275"/>
        <w:gridCol w:w="1276"/>
        <w:gridCol w:w="1134"/>
        <w:gridCol w:w="1134"/>
        <w:gridCol w:w="816"/>
      </w:tblGrid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работы, нагрузки, аттестации</w:t>
            </w:r>
          </w:p>
        </w:tc>
        <w:tc>
          <w:tcPr>
            <w:tcW w:w="7087" w:type="dxa"/>
            <w:gridSpan w:val="6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промежуточной</w:t>
            </w:r>
            <w:proofErr w:type="gramEnd"/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268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275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98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49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147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промежуточной аттестации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</w:tbl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4.Форма проведения учебных аудиторных занятий</w:t>
      </w:r>
      <w:r w:rsidR="00920C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–</w:t>
      </w:r>
      <w:r w:rsidR="00920C6F">
        <w:rPr>
          <w:rFonts w:ascii="Times New Roman" w:hAnsi="Times New Roman" w:cs="Times New Roman"/>
          <w:sz w:val="24"/>
          <w:szCs w:val="24"/>
          <w:lang w:val="ru-RU"/>
        </w:rPr>
        <w:t xml:space="preserve"> мелкогрупповые занятия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численностью от 4 до 10 человек.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Для учащихся 1-3 классов занятия по предмету «Слушание музыки» предусмотрены 1 раз в неделю по 1 часу. 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5. Цель и задачи учебного предмета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развитие интереса к классической музыке;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знакомство с широким кругом музыкальных произведений  и формирование навыков восприятия образной музыкальной речи;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воспитание эмоционального и интеллектуального отклика в процессе слушания;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приобретение необходимых каче</w:t>
      </w:r>
      <w:proofErr w:type="gramStart"/>
      <w:r w:rsidRPr="00B970A4">
        <w:rPr>
          <w:rFonts w:ascii="Times New Roman" w:hAnsi="Times New Roman" w:cs="Times New Roman"/>
          <w:sz w:val="24"/>
          <w:szCs w:val="24"/>
          <w:lang w:val="ru-RU"/>
        </w:rPr>
        <w:t>ств сл</w:t>
      </w:r>
      <w:proofErr w:type="gramEnd"/>
      <w:r w:rsidRPr="00B970A4">
        <w:rPr>
          <w:rFonts w:ascii="Times New Roman" w:hAnsi="Times New Roman" w:cs="Times New Roman"/>
          <w:sz w:val="24"/>
          <w:szCs w:val="24"/>
          <w:lang w:val="ru-RU"/>
        </w:rPr>
        <w:t>ухового внимания, умений следить за движением музыкальной мысли и развитием интонаций;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осознание и усвоение некоторых понятий и представлений о музыкальных явлениях и средствах выразительности;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накопление слухового опыта, определенного круга интонаций и развитие музыкального мышления;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- развитие одного из важных эстетических чувств - особой способности человека к </w:t>
      </w:r>
      <w:proofErr w:type="spellStart"/>
      <w:r w:rsidRPr="00B970A4">
        <w:rPr>
          <w:rFonts w:ascii="Times New Roman" w:hAnsi="Times New Roman" w:cs="Times New Roman"/>
          <w:sz w:val="24"/>
          <w:szCs w:val="24"/>
          <w:lang w:val="ru-RU"/>
        </w:rPr>
        <w:t>межсенсорному</w:t>
      </w:r>
      <w:proofErr w:type="spellEnd"/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восприятию;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развитие ассоциативно-образного мышления.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6.</w:t>
      </w:r>
      <w:r w:rsid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Обоснование структуры программы учебного предмета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Helvetica" w:hAnsi="Times New Roman" w:cs="Times New Roman"/>
          <w:sz w:val="24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Helvetica" w:hAnsi="Times New Roman" w:cs="Times New Roman"/>
          <w:sz w:val="24"/>
          <w:szCs w:val="24"/>
          <w:lang w:val="ru-RU"/>
        </w:rPr>
        <w:t>Программа содержит  следующие разделы: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учебного предмета;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распределение учебного материала по годам обучения;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описание дидактических единиц учебного предмета;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требования к уровню подготовки </w:t>
      </w:r>
      <w:proofErr w:type="gramStart"/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формы и методы контроля, система оценок;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методическое обеспечение учебного процесса.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В соответствии с данными направлениями строится о</w:t>
      </w:r>
      <w:r>
        <w:rPr>
          <w:rFonts w:ascii="Times New Roman" w:eastAsia="Geeza Pro" w:hAnsi="Times New Roman" w:cs="Times New Roman"/>
          <w:sz w:val="24"/>
          <w:szCs w:val="24"/>
          <w:lang w:val="ru-RU"/>
        </w:rPr>
        <w:t>сновной раздел программы «Содержание учебного предмета»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 нарастает сложность поставленных задач (концентрический метод).</w:t>
      </w:r>
    </w:p>
    <w:p w:rsidR="00B970A4" w:rsidRPr="003E11EC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Первый год обучения посвящен способам пока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за тематического материала и тому, как влияют на характер музыки лад, темп, ритм, фактура. </w:t>
      </w:r>
      <w:r w:rsidRPr="003E11EC">
        <w:rPr>
          <w:rFonts w:ascii="Times New Roman" w:hAnsi="Times New Roman" w:cs="Times New Roman"/>
          <w:sz w:val="24"/>
          <w:szCs w:val="24"/>
          <w:lang w:val="ru-RU"/>
        </w:rPr>
        <w:t xml:space="preserve">Речь идет о том, как понимать интонацию и слышать музыкально-звуковое пространство во всем его красочном многообразии.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Style w:val="a8"/>
          <w:rFonts w:eastAsiaTheme="minorEastAsia"/>
          <w:i w:val="0"/>
          <w:sz w:val="24"/>
          <w:szCs w:val="24"/>
        </w:rPr>
        <w:t xml:space="preserve">Второй год 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Style w:val="a8"/>
          <w:rFonts w:eastAsiaTheme="minorEastAsia"/>
          <w:i w:val="0"/>
          <w:sz w:val="24"/>
          <w:szCs w:val="24"/>
        </w:rPr>
        <w:t>На третьем году обучения решается задача восприятия художественного целого.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Учащиеся приобретают первое представление о музыкальных жанрах и простых формах, постепенно осознают жанр как особый тип изложения,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форму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>как результат развития ин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тонаций. </w:t>
      </w:r>
      <w:r w:rsidRPr="003E11EC">
        <w:rPr>
          <w:rFonts w:ascii="Times New Roman" w:hAnsi="Times New Roman" w:cs="Times New Roman"/>
          <w:sz w:val="24"/>
          <w:szCs w:val="24"/>
          <w:lang w:val="ru-RU"/>
        </w:rPr>
        <w:t>Это помогает восприятию художественного целого.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7. Методы обучения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объяснительно-иллюстративные (объяснение материала происходит в ходе знакомства с конкретным музыкальным примером);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поисково-творческие (творческие задания, участие детей в обсуждении, беседах);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игровые (разнообразные формы игрового моделирования).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8. Описание материально-технических условий реализации учебного предмета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Материально-техническая </w:t>
      </w:r>
      <w:r>
        <w:rPr>
          <w:rFonts w:ascii="Times New Roman" w:hAnsi="Times New Roman" w:cs="Times New Roman"/>
          <w:sz w:val="24"/>
          <w:szCs w:val="24"/>
          <w:lang w:val="ru-RU"/>
        </w:rPr>
        <w:t>база МБУ ДО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«ДМШ № 36» соответствует санитарным и противопожарным нормам,  нормам охраны труда. </w:t>
      </w:r>
    </w:p>
    <w:p w:rsidR="00B970A4" w:rsidRPr="00B970A4" w:rsidRDefault="003E11EC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Учебные аудитории, 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предназначенные для реализации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оснащены пианино, </w:t>
      </w:r>
      <w:proofErr w:type="spellStart"/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звукотехническим</w:t>
      </w:r>
      <w:proofErr w:type="spellEnd"/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оборудованием, учебной мебелью (досками, столами, стульями, стеллажами, шкафами), оформлены наглядными пособиями и</w:t>
      </w:r>
      <w:r w:rsidR="00B970A4" w:rsidRPr="00B970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имеют звукоизоляцию. </w:t>
      </w:r>
      <w:proofErr w:type="gramEnd"/>
    </w:p>
    <w:p w:rsidR="00EA4F8F" w:rsidRPr="00B970A4" w:rsidRDefault="00EA4F8F" w:rsidP="00B970A4">
      <w:pPr>
        <w:jc w:val="both"/>
        <w:rPr>
          <w:lang w:val="ru-RU"/>
        </w:rPr>
      </w:pPr>
    </w:p>
    <w:sectPr w:rsidR="00EA4F8F" w:rsidRPr="00B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6C"/>
    <w:rsid w:val="001B1B81"/>
    <w:rsid w:val="003E11EC"/>
    <w:rsid w:val="0080480D"/>
    <w:rsid w:val="00920C6F"/>
    <w:rsid w:val="00B970A4"/>
    <w:rsid w:val="00D8666C"/>
    <w:rsid w:val="00EA4F8F"/>
    <w:rsid w:val="00FA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A4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970A4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970A4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970A4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B970A4"/>
    <w:pPr>
      <w:ind w:left="720"/>
      <w:contextualSpacing/>
    </w:pPr>
  </w:style>
  <w:style w:type="paragraph" w:customStyle="1" w:styleId="Body1">
    <w:name w:val="Body 1"/>
    <w:rsid w:val="00B970A4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6">
    <w:name w:val="Table Grid"/>
    <w:basedOn w:val="a1"/>
    <w:uiPriority w:val="59"/>
    <w:rsid w:val="00B970A4"/>
    <w:pPr>
      <w:spacing w:after="0" w:line="360" w:lineRule="auto"/>
      <w:ind w:firstLine="709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rsid w:val="00B970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970A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B970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B970A4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B970A4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9">
    <w:name w:val="No Spacing"/>
    <w:basedOn w:val="a"/>
    <w:link w:val="aa"/>
    <w:uiPriority w:val="1"/>
    <w:qFormat/>
    <w:rsid w:val="00B970A4"/>
    <w:pPr>
      <w:ind w:firstLine="0"/>
    </w:pPr>
  </w:style>
  <w:style w:type="character" w:customStyle="1" w:styleId="aa">
    <w:name w:val="Без интервала Знак"/>
    <w:basedOn w:val="a0"/>
    <w:link w:val="a9"/>
    <w:uiPriority w:val="1"/>
    <w:rsid w:val="00B970A4"/>
    <w:rPr>
      <w:rFonts w:eastAsiaTheme="minorEastAsia"/>
      <w:lang w:val="en-US" w:bidi="en-US"/>
    </w:rPr>
  </w:style>
  <w:style w:type="character" w:styleId="ab">
    <w:name w:val="Book Title"/>
    <w:basedOn w:val="a0"/>
    <w:uiPriority w:val="33"/>
    <w:qFormat/>
    <w:rsid w:val="00B970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0">
    <w:name w:val="Абзац списка1"/>
    <w:basedOn w:val="a"/>
    <w:rsid w:val="00B970A4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1">
    <w:name w:val="Без интервала1"/>
    <w:rsid w:val="00B97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character" w:customStyle="1" w:styleId="FontStyle16">
    <w:name w:val="Font Style16"/>
    <w:rsid w:val="001B1B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A4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970A4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970A4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970A4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B970A4"/>
    <w:pPr>
      <w:ind w:left="720"/>
      <w:contextualSpacing/>
    </w:pPr>
  </w:style>
  <w:style w:type="paragraph" w:customStyle="1" w:styleId="Body1">
    <w:name w:val="Body 1"/>
    <w:rsid w:val="00B970A4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6">
    <w:name w:val="Table Grid"/>
    <w:basedOn w:val="a1"/>
    <w:uiPriority w:val="59"/>
    <w:rsid w:val="00B970A4"/>
    <w:pPr>
      <w:spacing w:after="0" w:line="360" w:lineRule="auto"/>
      <w:ind w:firstLine="709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rsid w:val="00B970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970A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B970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B970A4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B970A4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9">
    <w:name w:val="No Spacing"/>
    <w:basedOn w:val="a"/>
    <w:link w:val="aa"/>
    <w:uiPriority w:val="1"/>
    <w:qFormat/>
    <w:rsid w:val="00B970A4"/>
    <w:pPr>
      <w:ind w:firstLine="0"/>
    </w:pPr>
  </w:style>
  <w:style w:type="character" w:customStyle="1" w:styleId="aa">
    <w:name w:val="Без интервала Знак"/>
    <w:basedOn w:val="a0"/>
    <w:link w:val="a9"/>
    <w:uiPriority w:val="1"/>
    <w:rsid w:val="00B970A4"/>
    <w:rPr>
      <w:rFonts w:eastAsiaTheme="minorEastAsia"/>
      <w:lang w:val="en-US" w:bidi="en-US"/>
    </w:rPr>
  </w:style>
  <w:style w:type="character" w:styleId="ab">
    <w:name w:val="Book Title"/>
    <w:basedOn w:val="a0"/>
    <w:uiPriority w:val="33"/>
    <w:qFormat/>
    <w:rsid w:val="00B970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0">
    <w:name w:val="Абзац списка1"/>
    <w:basedOn w:val="a"/>
    <w:rsid w:val="00B970A4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1">
    <w:name w:val="Без интервала1"/>
    <w:rsid w:val="00B97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character" w:customStyle="1" w:styleId="FontStyle16">
    <w:name w:val="Font Style16"/>
    <w:rsid w:val="001B1B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44C6D-D82E-4233-B747-40C339F3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960</Words>
  <Characters>5472</Characters>
  <Application>Microsoft Office Word</Application>
  <DocSecurity>0</DocSecurity>
  <Lines>45</Lines>
  <Paragraphs>12</Paragraphs>
  <ScaleCrop>false</ScaleCrop>
  <Company>diakov.net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7</cp:revision>
  <dcterms:created xsi:type="dcterms:W3CDTF">2018-05-22T15:01:00Z</dcterms:created>
  <dcterms:modified xsi:type="dcterms:W3CDTF">2018-05-23T20:15:00Z</dcterms:modified>
</cp:coreProperties>
</file>