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61" w:rsidRDefault="00082025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Предметный цикл обязательной части ДПП «</w:t>
      </w:r>
      <w:r w:rsidR="00D95E95">
        <w:rPr>
          <w:rFonts w:ascii="Times New Roman" w:hAnsi="Times New Roman"/>
          <w:b/>
          <w:sz w:val="24"/>
          <w:szCs w:val="24"/>
        </w:rPr>
        <w:t>Музыкальный фольклор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657" w:type="dxa"/>
        <w:tblLayout w:type="fixed"/>
        <w:tblLook w:val="0000" w:firstRow="0" w:lastRow="0" w:firstColumn="0" w:lastColumn="0" w:noHBand="0" w:noVBand="0"/>
      </w:tblPr>
      <w:tblGrid>
        <w:gridCol w:w="3234"/>
        <w:gridCol w:w="6423"/>
      </w:tblGrid>
      <w:tr w:rsidR="00D95E95" w:rsidRPr="005769E3" w:rsidTr="00A16864">
        <w:trPr>
          <w:trHeight w:val="315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</w:tr>
      <w:tr w:rsidR="00D95E95" w:rsidRPr="005769E3" w:rsidTr="00D95E95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ПО.01.УП.01.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Фольклорный ансамбль</w:t>
            </w:r>
          </w:p>
        </w:tc>
      </w:tr>
      <w:tr w:rsidR="00D95E95" w:rsidRPr="005769E3" w:rsidTr="00D95E95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ПО.01.УП.02.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Музыкальный инструмент</w:t>
            </w:r>
          </w:p>
        </w:tc>
      </w:tr>
      <w:tr w:rsidR="00D95E95" w:rsidRPr="005769E3" w:rsidTr="00BD6AF5">
        <w:trPr>
          <w:trHeight w:val="315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</w:tr>
      <w:tr w:rsidR="00D95E95" w:rsidRPr="005769E3" w:rsidTr="00D95E95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ПО.02.УП.01.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</w:tr>
      <w:tr w:rsidR="00D95E95" w:rsidRPr="005769E3" w:rsidTr="00D95E95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ПО.02.УП.02.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 xml:space="preserve">Народное музыкальное творчество </w:t>
            </w:r>
          </w:p>
        </w:tc>
      </w:tr>
      <w:tr w:rsidR="00D95E95" w:rsidRPr="005769E3" w:rsidTr="00D95E95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ПО.02.УП.03.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95" w:rsidRPr="00D95E95" w:rsidRDefault="00D95E95" w:rsidP="00D9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</w:tr>
    </w:tbl>
    <w:p w:rsid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2025" w:rsidRDefault="00966295" w:rsidP="00D95E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95E95">
        <w:rPr>
          <w:rFonts w:ascii="Times New Roman" w:hAnsi="Times New Roman"/>
          <w:b/>
          <w:sz w:val="24"/>
          <w:szCs w:val="24"/>
        </w:rPr>
        <w:t>Учебный предмет</w:t>
      </w:r>
      <w:r w:rsidR="00082025" w:rsidRPr="00D95E95">
        <w:rPr>
          <w:rFonts w:ascii="Times New Roman" w:hAnsi="Times New Roman"/>
          <w:b/>
          <w:sz w:val="24"/>
          <w:szCs w:val="24"/>
        </w:rPr>
        <w:t xml:space="preserve"> «</w:t>
      </w:r>
      <w:r w:rsidR="00D95E95" w:rsidRPr="00D95E95">
        <w:rPr>
          <w:rFonts w:ascii="Times New Roman" w:hAnsi="Times New Roman"/>
          <w:b/>
          <w:sz w:val="24"/>
          <w:szCs w:val="24"/>
        </w:rPr>
        <w:t>Музыкальный фольклор</w:t>
      </w:r>
      <w:r w:rsidR="00082025" w:rsidRPr="00D95E95">
        <w:rPr>
          <w:rFonts w:ascii="Times New Roman" w:hAnsi="Times New Roman"/>
          <w:b/>
          <w:sz w:val="24"/>
          <w:szCs w:val="24"/>
        </w:rPr>
        <w:t>»</w:t>
      </w:r>
    </w:p>
    <w:p w:rsidR="00D95E95" w:rsidRPr="00D95E95" w:rsidRDefault="00D95E95" w:rsidP="00D95E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95061" w:rsidRPr="00D95E95" w:rsidRDefault="00C95061" w:rsidP="00D95E9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95E95"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95E95">
        <w:rPr>
          <w:rFonts w:ascii="Times New Roman" w:hAnsi="Times New Roman"/>
          <w:sz w:val="24"/>
          <w:szCs w:val="24"/>
        </w:rPr>
        <w:t>Программа учебного предмета «Фольклорный ансамбль» разработана на основе федеральных государственных требований к дополнительной предпроф</w:t>
      </w:r>
      <w:r w:rsidR="00051C8F">
        <w:rPr>
          <w:rFonts w:ascii="Times New Roman" w:hAnsi="Times New Roman"/>
          <w:sz w:val="24"/>
          <w:szCs w:val="24"/>
        </w:rPr>
        <w:t xml:space="preserve">ессиональной </w:t>
      </w:r>
      <w:r w:rsidRPr="00D95E95">
        <w:rPr>
          <w:rFonts w:ascii="Times New Roman" w:hAnsi="Times New Roman"/>
          <w:sz w:val="24"/>
          <w:szCs w:val="24"/>
        </w:rPr>
        <w:t xml:space="preserve"> программе в области музыкального искусства «Музыкальный фольклор».</w:t>
      </w:r>
    </w:p>
    <w:p w:rsidR="00D95E95" w:rsidRPr="00D95E95" w:rsidRDefault="00D95E95" w:rsidP="00D95E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Предлагаемая программа ориентирована на изучение, практическое освоение  песенного, обрядового и танцевального фольклора Архангельской области  и  России. Данная программа призвана помочь возродить фольклорное и народное  творчество как одну из важных составляющих национальной художественной культуры.   Так же, предмет «Фольклорный ансамбль» направлен на получение учащимися специальных знаний о многообразных исполнительских формах бытования народной песни и принципах ее воспроизведения.</w:t>
      </w:r>
    </w:p>
    <w:p w:rsidR="00D95E95" w:rsidRPr="00D95E95" w:rsidRDefault="00D95E95" w:rsidP="00D95E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Программа по данному предмету является частью комплекса предметов предпрофессиональной общеобразовательной программы в области музыкального искусства «Музыкальный фольклор» и находится в непосредственной связи с такими предметами как: «Сольное народное пение», «Народное музыкальное творчество», «Сольфеджио», «Музыкальная литература».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        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- на их дальнейшую профессиональную деятельность.</w:t>
      </w:r>
      <w:r w:rsidRPr="00D95E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5E95">
        <w:rPr>
          <w:rFonts w:ascii="Times New Roman" w:hAnsi="Times New Roman"/>
          <w:color w:val="000000" w:themeColor="text1"/>
          <w:sz w:val="24"/>
          <w:szCs w:val="24"/>
        </w:rPr>
        <w:t xml:space="preserve">       Данная программа основана на формировании и развитие культурной  личности, ее эстетических потребностей с самого юного возраста.  Является гармоничным планом освоения художественных ценностей традиционной национальной культуры своего народа, направленным на приобретение обучающимися музыкально-исполнительских знаний, умений, навыков.  </w:t>
      </w:r>
    </w:p>
    <w:p w:rsidR="00C95061" w:rsidRPr="00D95E95" w:rsidRDefault="00C95061" w:rsidP="00D95E9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95E95">
        <w:rPr>
          <w:rFonts w:ascii="Times New Roman" w:hAnsi="Times New Roman"/>
          <w:b/>
          <w:i/>
          <w:sz w:val="24"/>
          <w:szCs w:val="24"/>
        </w:rPr>
        <w:t>2. Срок реализации учебного предмета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    </w:t>
      </w:r>
      <w:r w:rsidRPr="00D95E95">
        <w:rPr>
          <w:rFonts w:ascii="Times New Roman" w:hAnsi="Times New Roman"/>
          <w:sz w:val="24"/>
          <w:szCs w:val="24"/>
        </w:rPr>
        <w:t>Срок реализации учебного предмета</w:t>
      </w:r>
      <w:r w:rsidRPr="00D95E95">
        <w:rPr>
          <w:rFonts w:ascii="Times New Roman" w:hAnsi="Times New Roman"/>
          <w:i/>
          <w:sz w:val="24"/>
          <w:szCs w:val="24"/>
        </w:rPr>
        <w:t xml:space="preserve"> </w:t>
      </w:r>
      <w:r w:rsidRPr="00D95E95">
        <w:rPr>
          <w:rFonts w:ascii="Times New Roman" w:hAnsi="Times New Roman"/>
          <w:sz w:val="24"/>
          <w:szCs w:val="24"/>
        </w:rPr>
        <w:t>«Фольклорный ансамбль»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        Срок реализации программы освоения дополнительной предпрофессиональной общеобразовательной программы  в области музыкального искусства «Музыкальный фольклор»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051C8F" w:rsidRDefault="00051C8F" w:rsidP="00D95E95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051C8F" w:rsidRDefault="00051C8F" w:rsidP="00D95E95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C95061" w:rsidRPr="00D95E95" w:rsidRDefault="00C95061" w:rsidP="00D95E95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 w:rsidRPr="00D95E95">
        <w:rPr>
          <w:rFonts w:ascii="Times New Roman" w:hAnsi="Times New Roman"/>
          <w:b/>
          <w:i/>
          <w:color w:val="00000A"/>
          <w:sz w:val="24"/>
          <w:szCs w:val="24"/>
        </w:rPr>
        <w:lastRenderedPageBreak/>
        <w:t>3. Объем учебного времени</w:t>
      </w:r>
    </w:p>
    <w:p w:rsidR="00D95E95" w:rsidRPr="00D95E95" w:rsidRDefault="00C95061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         </w:t>
      </w:r>
      <w:r w:rsidR="00D95E95" w:rsidRPr="00D95E95">
        <w:rPr>
          <w:rFonts w:ascii="Times New Roman" w:hAnsi="Times New Roman"/>
          <w:sz w:val="24"/>
          <w:szCs w:val="24"/>
        </w:rPr>
        <w:t>Объём учебного вре</w:t>
      </w:r>
      <w:r w:rsidR="00051C8F">
        <w:rPr>
          <w:rFonts w:ascii="Times New Roman" w:hAnsi="Times New Roman"/>
          <w:sz w:val="24"/>
          <w:szCs w:val="24"/>
        </w:rPr>
        <w:t>мени, предусмотренный планом МБУ ДО</w:t>
      </w:r>
      <w:bookmarkStart w:id="0" w:name="_GoBack"/>
      <w:bookmarkEnd w:id="0"/>
      <w:r w:rsidR="00D95E95" w:rsidRPr="00D95E95">
        <w:rPr>
          <w:rFonts w:ascii="Times New Roman" w:hAnsi="Times New Roman"/>
          <w:sz w:val="24"/>
          <w:szCs w:val="24"/>
        </w:rPr>
        <w:t xml:space="preserve"> «ДМШ</w:t>
      </w:r>
      <w:r w:rsidR="00D95E95">
        <w:rPr>
          <w:rFonts w:ascii="Times New Roman" w:hAnsi="Times New Roman"/>
          <w:sz w:val="24"/>
          <w:szCs w:val="24"/>
        </w:rPr>
        <w:t xml:space="preserve"> </w:t>
      </w:r>
      <w:r w:rsidR="00D95E95" w:rsidRPr="00D95E95">
        <w:rPr>
          <w:rFonts w:ascii="Times New Roman" w:hAnsi="Times New Roman"/>
          <w:sz w:val="24"/>
          <w:szCs w:val="24"/>
        </w:rPr>
        <w:t>№</w:t>
      </w:r>
      <w:r w:rsidR="00D95E95">
        <w:rPr>
          <w:rFonts w:ascii="Times New Roman" w:hAnsi="Times New Roman"/>
          <w:sz w:val="24"/>
          <w:szCs w:val="24"/>
        </w:rPr>
        <w:t xml:space="preserve"> </w:t>
      </w:r>
      <w:r w:rsidR="00D95E95" w:rsidRPr="00D95E95">
        <w:rPr>
          <w:rFonts w:ascii="Times New Roman" w:hAnsi="Times New Roman"/>
          <w:sz w:val="24"/>
          <w:szCs w:val="24"/>
        </w:rPr>
        <w:t xml:space="preserve">36» на реализацию  учебного предмета по специальности «Фольклорный ансамбль»,  сочетает в себе количество времени  максимальной учебной нагрузки с самостоятельной работой и аудиторными  занятиями. </w:t>
      </w:r>
    </w:p>
    <w:p w:rsidR="00C95061" w:rsidRPr="00D95E95" w:rsidRDefault="00C95061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bCs/>
          <w:sz w:val="24"/>
          <w:szCs w:val="24"/>
        </w:rPr>
        <w:t xml:space="preserve">   </w:t>
      </w:r>
    </w:p>
    <w:tbl>
      <w:tblPr>
        <w:tblStyle w:val="a6"/>
        <w:tblW w:w="0" w:type="auto"/>
        <w:jc w:val="center"/>
        <w:tblInd w:w="446" w:type="dxa"/>
        <w:tblLook w:val="04A0" w:firstRow="1" w:lastRow="0" w:firstColumn="1" w:lastColumn="0" w:noHBand="0" w:noVBand="1"/>
      </w:tblPr>
      <w:tblGrid>
        <w:gridCol w:w="5838"/>
        <w:gridCol w:w="1721"/>
        <w:gridCol w:w="1566"/>
      </w:tblGrid>
      <w:tr w:rsidR="00D95E95" w:rsidRPr="00D95E95" w:rsidTr="00D95E95">
        <w:trPr>
          <w:jc w:val="center"/>
        </w:trPr>
        <w:tc>
          <w:tcPr>
            <w:tcW w:w="5838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721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1566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sz w:val="24"/>
                <w:szCs w:val="24"/>
              </w:rPr>
              <w:t>9 лет</w:t>
            </w:r>
          </w:p>
        </w:tc>
      </w:tr>
      <w:tr w:rsidR="00D95E95" w:rsidRPr="00D95E95" w:rsidTr="00D95E95">
        <w:trPr>
          <w:jc w:val="center"/>
        </w:trPr>
        <w:tc>
          <w:tcPr>
            <w:tcW w:w="5838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1721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1566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1777</w:t>
            </w:r>
          </w:p>
        </w:tc>
      </w:tr>
      <w:tr w:rsidR="00D95E95" w:rsidRPr="00D95E95" w:rsidTr="00D95E95">
        <w:trPr>
          <w:jc w:val="center"/>
        </w:trPr>
        <w:tc>
          <w:tcPr>
            <w:tcW w:w="5838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1721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1566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</w:tr>
      <w:tr w:rsidR="00D95E95" w:rsidRPr="00D95E95" w:rsidTr="00D95E95">
        <w:trPr>
          <w:jc w:val="center"/>
        </w:trPr>
        <w:tc>
          <w:tcPr>
            <w:tcW w:w="5838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721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566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</w:tr>
    </w:tbl>
    <w:p w:rsidR="00C95061" w:rsidRPr="00D95E95" w:rsidRDefault="00C95061" w:rsidP="00D95E9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C95061" w:rsidRPr="00D95E95" w:rsidRDefault="00C95061" w:rsidP="00D95E9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95E95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D95E95" w:rsidRPr="00D95E95" w:rsidRDefault="00C95061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      </w:t>
      </w:r>
      <w:r w:rsidR="00D95E95" w:rsidRPr="00D95E95">
        <w:rPr>
          <w:rFonts w:ascii="Times New Roman" w:hAnsi="Times New Roman"/>
          <w:sz w:val="24"/>
          <w:szCs w:val="24"/>
        </w:rPr>
        <w:t xml:space="preserve">Реализация учебного плана по предмету «Фольклорный ансамбль» может проводиться в форме </w:t>
      </w:r>
      <w:r w:rsidR="00D95E95" w:rsidRPr="00D95E95">
        <w:rPr>
          <w:rFonts w:ascii="Times New Roman" w:hAnsi="Times New Roman"/>
          <w:color w:val="000000" w:themeColor="text1"/>
          <w:sz w:val="24"/>
          <w:szCs w:val="24"/>
        </w:rPr>
        <w:t>мелкогрупповых занятий (численностью от 2 до 10 человек) или  групповых занятий (численностью от 8 человек).</w:t>
      </w:r>
      <w:r w:rsidR="00D95E95" w:rsidRPr="00D95E95">
        <w:rPr>
          <w:rFonts w:ascii="Times New Roman" w:hAnsi="Times New Roman"/>
          <w:sz w:val="24"/>
          <w:szCs w:val="24"/>
        </w:rPr>
        <w:t xml:space="preserve"> Время занятия в неделю: 4 часа.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Примеры возможных форм проведения занятий по предмету «Фольклорный ансамбль» (с учетом введения в вариативную часть предмета «Сольное народное пение»):</w:t>
      </w:r>
      <w:r w:rsidRPr="00D95E95">
        <w:rPr>
          <w:rFonts w:ascii="Times New Roman" w:hAnsi="Times New Roman"/>
          <w:i/>
          <w:sz w:val="24"/>
          <w:szCs w:val="24"/>
        </w:rPr>
        <w:tab/>
      </w:r>
      <w:r w:rsidRPr="00D95E95">
        <w:rPr>
          <w:rFonts w:ascii="Times New Roman" w:hAnsi="Times New Roman"/>
          <w:i/>
          <w:sz w:val="24"/>
          <w:szCs w:val="24"/>
        </w:rPr>
        <w:tab/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9734" w:type="dxa"/>
        <w:tblInd w:w="108" w:type="dxa"/>
        <w:tblLook w:val="04A0" w:firstRow="1" w:lastRow="0" w:firstColumn="1" w:lastColumn="0" w:noHBand="0" w:noVBand="1"/>
      </w:tblPr>
      <w:tblGrid>
        <w:gridCol w:w="2482"/>
        <w:gridCol w:w="2446"/>
        <w:gridCol w:w="2279"/>
        <w:gridCol w:w="2527"/>
      </w:tblGrid>
      <w:tr w:rsidR="00D95E95" w:rsidRPr="00D95E95" w:rsidTr="00D95E95">
        <w:tc>
          <w:tcPr>
            <w:tcW w:w="2482" w:type="dxa"/>
            <w:vMerge w:val="restart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sz w:val="24"/>
                <w:szCs w:val="24"/>
              </w:rPr>
              <w:t>(годы обучения)</w:t>
            </w:r>
          </w:p>
        </w:tc>
        <w:tc>
          <w:tcPr>
            <w:tcW w:w="4725" w:type="dxa"/>
            <w:gridSpan w:val="2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527" w:type="dxa"/>
            <w:vMerge w:val="restart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E95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D95E95" w:rsidRPr="00D95E95" w:rsidTr="00D95E95">
        <w:tc>
          <w:tcPr>
            <w:tcW w:w="2482" w:type="dxa"/>
            <w:vMerge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Мелкогрупповые/ групповые</w:t>
            </w:r>
          </w:p>
        </w:tc>
        <w:tc>
          <w:tcPr>
            <w:tcW w:w="2279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527" w:type="dxa"/>
            <w:vMerge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95" w:rsidRPr="00D95E95" w:rsidTr="00D95E95">
        <w:tc>
          <w:tcPr>
            <w:tcW w:w="2482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Начальные классы (1-2)</w:t>
            </w:r>
          </w:p>
        </w:tc>
        <w:tc>
          <w:tcPr>
            <w:tcW w:w="2446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2279" w:type="dxa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vMerge w:val="restart"/>
          </w:tcPr>
          <w:p w:rsidR="00D95E95" w:rsidRPr="00D95E95" w:rsidRDefault="00D95E95" w:rsidP="00D95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В зависимости от количества обучающихся возможно перераспределение ансамблевых групп.</w:t>
            </w:r>
          </w:p>
        </w:tc>
      </w:tr>
      <w:tr w:rsidR="00D95E95" w:rsidRPr="00D95E95" w:rsidTr="00D95E95">
        <w:tc>
          <w:tcPr>
            <w:tcW w:w="2482" w:type="dxa"/>
          </w:tcPr>
          <w:p w:rsid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 xml:space="preserve">Средние классы </w:t>
            </w:r>
          </w:p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(3-5)</w:t>
            </w:r>
          </w:p>
        </w:tc>
        <w:tc>
          <w:tcPr>
            <w:tcW w:w="2446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2279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Сольное народное пение</w:t>
            </w:r>
          </w:p>
        </w:tc>
        <w:tc>
          <w:tcPr>
            <w:tcW w:w="2527" w:type="dxa"/>
            <w:vMerge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95" w:rsidRPr="00D95E95" w:rsidTr="00D95E95">
        <w:tc>
          <w:tcPr>
            <w:tcW w:w="2482" w:type="dxa"/>
          </w:tcPr>
          <w:p w:rsid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 xml:space="preserve">Старшие классы </w:t>
            </w:r>
          </w:p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(6-9)</w:t>
            </w:r>
          </w:p>
        </w:tc>
        <w:tc>
          <w:tcPr>
            <w:tcW w:w="2446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Ансамбль, сводное занятие</w:t>
            </w:r>
          </w:p>
        </w:tc>
        <w:tc>
          <w:tcPr>
            <w:tcW w:w="2279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Сольное народное пение</w:t>
            </w:r>
          </w:p>
        </w:tc>
        <w:tc>
          <w:tcPr>
            <w:tcW w:w="2527" w:type="dxa"/>
            <w:vMerge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95" w:rsidRPr="00D95E95" w:rsidTr="00D95E95">
        <w:tc>
          <w:tcPr>
            <w:tcW w:w="2482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2446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95">
              <w:rPr>
                <w:rFonts w:ascii="Times New Roman" w:hAnsi="Times New Roman"/>
                <w:sz w:val="24"/>
                <w:szCs w:val="24"/>
              </w:rPr>
              <w:t>Смешанный ансамбль</w:t>
            </w:r>
          </w:p>
        </w:tc>
        <w:tc>
          <w:tcPr>
            <w:tcW w:w="2279" w:type="dxa"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D95E95" w:rsidRPr="00D95E95" w:rsidRDefault="00D95E95" w:rsidP="00D95E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E95" w:rsidRPr="00D95E95" w:rsidRDefault="00D95E95" w:rsidP="00D95E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5E95">
        <w:rPr>
          <w:rFonts w:ascii="Times New Roman" w:hAnsi="Times New Roman"/>
          <w:sz w:val="24"/>
          <w:szCs w:val="24"/>
        </w:rPr>
        <w:t>Групповая форма занятий вместе с индивидуальная формой,  позволяет средствами вокального искусства раскрыть творческую индивидуальность каждого учащегося.</w:t>
      </w:r>
      <w:proofErr w:type="gramEnd"/>
      <w:r w:rsidRPr="00D95E95">
        <w:rPr>
          <w:rFonts w:ascii="Times New Roman" w:hAnsi="Times New Roman"/>
          <w:sz w:val="24"/>
          <w:szCs w:val="24"/>
        </w:rPr>
        <w:t xml:space="preserve"> Занятия по постановке голоса  на уроках «Сольное народное пение» позволят преподавателю лучше узнать ученика, его вокальные  возможности (тембр, диапазон, интенсивность голоса), музыкальные способности, эмоционально-психологические особенности.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eastAsiaTheme="minorEastAsia" w:hAnsi="Times New Roman"/>
          <w:color w:val="FF0000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color w:val="FF0000"/>
          <w:sz w:val="24"/>
          <w:szCs w:val="24"/>
        </w:rPr>
        <w:tab/>
      </w:r>
      <w:r w:rsidRPr="00D95E95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Pr="00D95E95">
        <w:rPr>
          <w:rFonts w:ascii="Times New Roman" w:hAnsi="Times New Roman"/>
          <w:sz w:val="24"/>
          <w:szCs w:val="24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5. </w:t>
      </w:r>
      <w:r w:rsidRPr="00D95E95">
        <w:rPr>
          <w:rFonts w:ascii="Times New Roman" w:hAnsi="Times New Roman"/>
          <w:b/>
          <w:i/>
          <w:sz w:val="24"/>
          <w:szCs w:val="24"/>
        </w:rPr>
        <w:t>Цель и задачи учебного предмета «Фольклорный ансамбль»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95E95"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- развитие музыкально-творческих способностей у учащегося на основе умений и навыков  в области музыкального фольклора и народного песенного творчества;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раскрытие наиболее одарённых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95E95">
        <w:rPr>
          <w:rFonts w:ascii="Times New Roman" w:hAnsi="Times New Roman"/>
          <w:b/>
          <w:sz w:val="24"/>
          <w:szCs w:val="24"/>
        </w:rPr>
        <w:t>Задачи: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обучение вокально – техническим и исполнительским навыкам, присущим народной манере исполнения;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освоение учащимися навыков и умений ансамблевого и сольного пения;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развитие у обучающихся музыкальных способностей (слуха, чувства ритма, музыкальной памяти);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lastRenderedPageBreak/>
        <w:t>- развитие мотивации к познанию народных традиций и овладению специфическими чертами народной музыки;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получение учащимися необходимых знаний об аутентичных народных традициях и песенной культуре;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95E95">
        <w:rPr>
          <w:rFonts w:ascii="Times New Roman" w:hAnsi="Times New Roman"/>
          <w:b/>
          <w:i/>
          <w:sz w:val="24"/>
          <w:szCs w:val="24"/>
        </w:rPr>
        <w:t>6. Обоснование структуры учебного</w:t>
      </w:r>
      <w:r>
        <w:rPr>
          <w:rFonts w:ascii="Times New Roman" w:hAnsi="Times New Roman"/>
          <w:b/>
          <w:i/>
          <w:sz w:val="24"/>
          <w:szCs w:val="24"/>
        </w:rPr>
        <w:t xml:space="preserve"> предмета</w:t>
      </w:r>
    </w:p>
    <w:p w:rsidR="00D95E95" w:rsidRPr="00D95E95" w:rsidRDefault="00D95E95" w:rsidP="00D95E95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Программа содержит необходимые для организации занятий </w:t>
      </w:r>
      <w:r w:rsidRPr="00D95E95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распределение учебного материала погодам обучения;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требования к уровню подготовки  </w:t>
      </w:r>
      <w:proofErr w:type="gramStart"/>
      <w:r w:rsidRPr="00D95E9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95E95">
        <w:rPr>
          <w:rFonts w:ascii="Times New Roman" w:hAnsi="Times New Roman"/>
          <w:sz w:val="24"/>
          <w:szCs w:val="24"/>
        </w:rPr>
        <w:t xml:space="preserve">;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формы и методы контроля, система оценок;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методическое обеспечение учебного процесса.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95E95">
        <w:rPr>
          <w:rFonts w:ascii="Times New Roman" w:hAnsi="Times New Roman"/>
          <w:b/>
          <w:i/>
          <w:sz w:val="24"/>
          <w:szCs w:val="24"/>
        </w:rPr>
        <w:t>7.</w:t>
      </w:r>
      <w:r w:rsidR="00B532D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E95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D95E95" w:rsidRPr="00D95E95" w:rsidRDefault="00D95E95" w:rsidP="00D95E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95E95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D95E95">
        <w:rPr>
          <w:rFonts w:ascii="Times New Roman" w:hAnsi="Times New Roman"/>
          <w:sz w:val="24"/>
          <w:szCs w:val="24"/>
        </w:rPr>
        <w:t xml:space="preserve">  (упражнения, выработка вокально - технических навыков ученика, работа над художественно-образной сферой произведения);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95E95">
        <w:rPr>
          <w:rFonts w:ascii="Times New Roman" w:hAnsi="Times New Roman"/>
          <w:sz w:val="24"/>
          <w:szCs w:val="24"/>
        </w:rPr>
        <w:t>наглядный</w:t>
      </w:r>
      <w:proofErr w:type="gramEnd"/>
      <w:r w:rsidRPr="00D95E95">
        <w:rPr>
          <w:rFonts w:ascii="Times New Roman" w:hAnsi="Times New Roman"/>
          <w:sz w:val="24"/>
          <w:szCs w:val="24"/>
        </w:rPr>
        <w:t xml:space="preserve">  (наблюдение и  демонстрация);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словесный  и иллюстрационный (рассказ, беседа, объяснение);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метод проблемного изложения (умение находить сообща разные варианты решения технических и творческих проблем);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- частично-поисковый (ученик участвует в поисках решения поставленной задачи).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      Методика работы с фольклорным ансамблем включает в себя конкретные формы разнообразной практики, которые позволяют в полном объёме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Содержание уроков основано на изучении традиционного фольклора и народного песенного творчества.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95E95">
        <w:rPr>
          <w:rFonts w:ascii="Times New Roman" w:hAnsi="Times New Roman"/>
          <w:b/>
          <w:i/>
          <w:sz w:val="24"/>
          <w:szCs w:val="24"/>
        </w:rPr>
        <w:t>8. Описание материально-технических условий для реализации учебного предмета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D95E95">
        <w:rPr>
          <w:rFonts w:ascii="Times New Roman" w:hAnsi="Times New Roman"/>
          <w:sz w:val="24"/>
          <w:szCs w:val="24"/>
        </w:rPr>
        <w:t xml:space="preserve">Материально-техническая база образовательного учреждения </w:t>
      </w:r>
      <w:r w:rsidR="00B532D0">
        <w:rPr>
          <w:rFonts w:ascii="Times New Roman" w:hAnsi="Times New Roman"/>
          <w:sz w:val="24"/>
          <w:szCs w:val="24"/>
        </w:rPr>
        <w:t>МБУ ДО</w:t>
      </w:r>
      <w:r w:rsidRPr="00D95E95">
        <w:rPr>
          <w:rFonts w:ascii="Times New Roman" w:hAnsi="Times New Roman"/>
          <w:sz w:val="24"/>
          <w:szCs w:val="24"/>
        </w:rPr>
        <w:t xml:space="preserve"> «ДМШ № 36» соответствует санитарным и противопожарным нормам, нормам охраны  труда.  </w:t>
      </w:r>
    </w:p>
    <w:p w:rsidR="00D95E95" w:rsidRPr="00D95E95" w:rsidRDefault="00D95E95" w:rsidP="00B532D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Минимально необходимый для реализации в рамках образовательной программы «Музыкальный фольклор» учебного предмета «Фольклорный ансамбль» перечень аудиторий, специализированных кабинетов и материально-технического обеспечения включает в себя: 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учебные просторные  и хорошо проветриваемые аудитории с хорошей акустикой для индивидуальных, мелкогрупповых и групповых  занятий с фортепиано,  концертный зал;</w:t>
      </w:r>
    </w:p>
    <w:p w:rsidR="00D95E95" w:rsidRPr="00D95E95" w:rsidRDefault="00B532D0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proofErr w:type="spellStart"/>
      <w:r w:rsidR="00D95E95" w:rsidRPr="00D95E95">
        <w:rPr>
          <w:rFonts w:ascii="Times New Roman" w:hAnsi="Times New Roman"/>
          <w:sz w:val="24"/>
          <w:szCs w:val="24"/>
        </w:rPr>
        <w:t>звукотехническое</w:t>
      </w:r>
      <w:proofErr w:type="spellEnd"/>
      <w:r w:rsidR="00D95E95" w:rsidRPr="00D95E95">
        <w:rPr>
          <w:rFonts w:ascii="Times New Roman" w:hAnsi="Times New Roman"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костюмерная (костюмы, чехлы, туфли).</w:t>
      </w:r>
    </w:p>
    <w:p w:rsidR="00D95E95" w:rsidRPr="00B532D0" w:rsidRDefault="00B532D0" w:rsidP="00D95E9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532D0">
        <w:rPr>
          <w:rFonts w:ascii="Times New Roman" w:hAnsi="Times New Roman"/>
          <w:b/>
          <w:i/>
          <w:sz w:val="24"/>
          <w:szCs w:val="24"/>
        </w:rPr>
        <w:t>9. </w:t>
      </w:r>
      <w:r w:rsidR="00D95E95" w:rsidRPr="00B532D0">
        <w:rPr>
          <w:rFonts w:ascii="Times New Roman" w:hAnsi="Times New Roman"/>
          <w:b/>
          <w:i/>
          <w:sz w:val="24"/>
          <w:szCs w:val="24"/>
        </w:rPr>
        <w:t>Методическое обеспечение учебного процесса: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 xml:space="preserve"> - песенные и нотные сборники  музыкальных произведений и   упражнений;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D95E95" w:rsidRPr="00D95E95" w:rsidRDefault="00D95E95" w:rsidP="00D95E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5E95">
        <w:rPr>
          <w:rFonts w:ascii="Times New Roman" w:hAnsi="Times New Roman"/>
          <w:sz w:val="24"/>
          <w:szCs w:val="24"/>
        </w:rPr>
        <w:t>- фонотека и видеотека.</w:t>
      </w:r>
    </w:p>
    <w:sectPr w:rsidR="00D95E95" w:rsidRPr="00D9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7A2456D"/>
    <w:multiLevelType w:val="hybridMultilevel"/>
    <w:tmpl w:val="9BF22D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D087E"/>
    <w:multiLevelType w:val="hybridMultilevel"/>
    <w:tmpl w:val="6232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3F"/>
    <w:rsid w:val="00051C8F"/>
    <w:rsid w:val="00082025"/>
    <w:rsid w:val="00303AC5"/>
    <w:rsid w:val="00361D3F"/>
    <w:rsid w:val="00804392"/>
    <w:rsid w:val="00966295"/>
    <w:rsid w:val="009943D9"/>
    <w:rsid w:val="00B532D0"/>
    <w:rsid w:val="00B84B33"/>
    <w:rsid w:val="00C75612"/>
    <w:rsid w:val="00C95061"/>
    <w:rsid w:val="00D95E95"/>
    <w:rsid w:val="00E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  <w:style w:type="table" w:styleId="a6">
    <w:name w:val="Table Grid"/>
    <w:basedOn w:val="a1"/>
    <w:uiPriority w:val="59"/>
    <w:rsid w:val="00D95E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  <w:style w:type="table" w:styleId="a6">
    <w:name w:val="Table Grid"/>
    <w:basedOn w:val="a1"/>
    <w:uiPriority w:val="59"/>
    <w:rsid w:val="00D95E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2018-05-22T08:20:00Z</dcterms:created>
  <dcterms:modified xsi:type="dcterms:W3CDTF">2018-05-23T09:30:00Z</dcterms:modified>
</cp:coreProperties>
</file>