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2E" w:rsidRPr="00E67E05" w:rsidRDefault="00F3432E" w:rsidP="00F3432E">
      <w:pPr>
        <w:rPr>
          <w:rFonts w:ascii="Algerian" w:eastAsiaTheme="minorHAnsi" w:hAnsi="Algerian" w:cs="Times New Roman"/>
          <w:b/>
          <w:color w:val="C00000"/>
          <w:sz w:val="48"/>
          <w:szCs w:val="48"/>
        </w:rPr>
      </w:pP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Нарушение</w:t>
      </w:r>
      <w:r w:rsidRPr="00E67E05">
        <w:rPr>
          <w:rFonts w:ascii="Algerian" w:eastAsiaTheme="minorHAnsi" w:hAnsi="Algerian" w:cs="Times New Roman"/>
          <w:b/>
          <w:color w:val="C00000"/>
          <w:sz w:val="48"/>
          <w:szCs w:val="48"/>
        </w:rPr>
        <w:t xml:space="preserve"> </w:t>
      </w: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проходимости</w:t>
      </w:r>
      <w:r w:rsidRPr="00E67E05">
        <w:rPr>
          <w:rFonts w:ascii="Algerian" w:eastAsiaTheme="minorHAnsi" w:hAnsi="Algerian" w:cs="Times New Roman"/>
          <w:b/>
          <w:color w:val="C00000"/>
          <w:sz w:val="48"/>
          <w:szCs w:val="48"/>
        </w:rPr>
        <w:t xml:space="preserve"> </w:t>
      </w: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верхних</w:t>
      </w:r>
      <w:r w:rsidRPr="00E67E05">
        <w:rPr>
          <w:rFonts w:ascii="Algerian" w:eastAsiaTheme="minorHAnsi" w:hAnsi="Algerian" w:cs="Times New Roman"/>
          <w:b/>
          <w:color w:val="C00000"/>
          <w:sz w:val="48"/>
          <w:szCs w:val="48"/>
        </w:rPr>
        <w:t xml:space="preserve"> </w:t>
      </w: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дыхательных</w:t>
      </w:r>
      <w:r w:rsidRPr="00E67E05">
        <w:rPr>
          <w:rFonts w:ascii="Algerian" w:eastAsiaTheme="minorHAnsi" w:hAnsi="Algerian" w:cs="Times New Roman"/>
          <w:b/>
          <w:color w:val="C00000"/>
          <w:sz w:val="48"/>
          <w:szCs w:val="48"/>
        </w:rPr>
        <w:t xml:space="preserve"> </w:t>
      </w: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путей</w:t>
      </w:r>
      <w:r w:rsidRPr="00E67E05">
        <w:rPr>
          <w:rFonts w:ascii="Algerian" w:eastAsiaTheme="minorHAnsi" w:hAnsi="Algerian" w:cs="Times New Roman"/>
          <w:b/>
          <w:color w:val="C00000"/>
          <w:sz w:val="48"/>
          <w:szCs w:val="48"/>
        </w:rPr>
        <w:t xml:space="preserve">, </w:t>
      </w: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первая</w:t>
      </w:r>
      <w:r w:rsidRPr="00E67E05">
        <w:rPr>
          <w:rFonts w:ascii="Algerian" w:eastAsiaTheme="minorHAnsi" w:hAnsi="Algerian" w:cs="Times New Roman"/>
          <w:b/>
          <w:color w:val="C00000"/>
          <w:sz w:val="48"/>
          <w:szCs w:val="48"/>
        </w:rPr>
        <w:t xml:space="preserve"> </w:t>
      </w:r>
      <w:r w:rsidRPr="00E67E05">
        <w:rPr>
          <w:rFonts w:ascii="Cambria" w:eastAsiaTheme="minorHAnsi" w:hAnsi="Cambria" w:cs="Cambria"/>
          <w:b/>
          <w:color w:val="C00000"/>
          <w:sz w:val="48"/>
          <w:szCs w:val="48"/>
        </w:rPr>
        <w:t>помощь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403"/>
        <w:gridCol w:w="6656"/>
      </w:tblGrid>
      <w:tr w:rsidR="00F3432E" w:rsidRPr="008B0B87" w:rsidTr="00B90C47">
        <w:tc>
          <w:tcPr>
            <w:tcW w:w="3403" w:type="dxa"/>
          </w:tcPr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Признаки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820A72" wp14:editId="76D7AC13">
                  <wp:extent cx="1519707" cy="1261745"/>
                  <wp:effectExtent l="0" t="0" r="444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69" cy="1303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F3432E" w:rsidRPr="00E67E05" w:rsidRDefault="00F3432E" w:rsidP="00B90C4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Типичным признаком нарушения проходимости дыхательных путей является поза, при которой человек держится рукой за горло и одновременно пытается кашлять, чтобы удалить инородное тело.</w:t>
            </w:r>
          </w:p>
        </w:tc>
      </w:tr>
      <w:tr w:rsidR="00F3432E" w:rsidRPr="008B0B87" w:rsidTr="00B90C47">
        <w:trPr>
          <w:trHeight w:val="1975"/>
        </w:trPr>
        <w:tc>
          <w:tcPr>
            <w:tcW w:w="3403" w:type="dxa"/>
          </w:tcPr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Попытка произвольного кашля</w:t>
            </w: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F14E10" wp14:editId="264C8AB7">
                  <wp:extent cx="1674254" cy="1268095"/>
                  <wp:effectExtent l="0" t="0" r="254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849" cy="12806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- При частичном нарушении проходимости верхних дыхательных путей пострадавший отвечает на вопрос, может кашлять. Следует предложить пострадавшему покашлять.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- При полном нарушении проходимости верхних дыхательных путей пострадавший не может говорить, не может дышать или дыхание явно затруднено (шумное, хриплое), может хватать себя за горло, может кивать.</w:t>
            </w:r>
          </w:p>
        </w:tc>
      </w:tr>
      <w:tr w:rsidR="00F3432E" w:rsidRPr="008B0B87" w:rsidTr="00B90C47">
        <w:tc>
          <w:tcPr>
            <w:tcW w:w="10059" w:type="dxa"/>
            <w:gridSpan w:val="2"/>
          </w:tcPr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При полном нарушении проходимости верхних дыхательных путей необходимо предпринять меры по удалению инородного тела:</w:t>
            </w:r>
          </w:p>
        </w:tc>
      </w:tr>
      <w:tr w:rsidR="00F3432E" w:rsidRPr="008B0B87" w:rsidTr="00B90C47">
        <w:tc>
          <w:tcPr>
            <w:tcW w:w="3403" w:type="dxa"/>
          </w:tcPr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Удары между лопатками</w:t>
            </w: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724C38" wp14:editId="78E2F3F4">
                  <wp:extent cx="1543050" cy="1390919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91" cy="1397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1. Встать сбоку и немного сзади пострадавшего.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2. Придерживая пострадавшего одной рукой, другой наклонить его вперёд, чтобы в случае смещения инородного тела оно попало в рот пострадавшего, а не опустилось ниже в дыхательные пути.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3. Нанести 5 резких ударов основанием своей ладони между лопатками пострадавшего.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4. Проверять после каждого удара, не удалось ли устранить нарушение проходимости. </w:t>
            </w:r>
          </w:p>
        </w:tc>
      </w:tr>
      <w:tr w:rsidR="00F3432E" w:rsidRPr="008B0B87" w:rsidTr="00B90C47">
        <w:tc>
          <w:tcPr>
            <w:tcW w:w="3403" w:type="dxa"/>
          </w:tcPr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Надавливания на</w:t>
            </w:r>
          </w:p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живот</w:t>
            </w:r>
          </w:p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B5E242" wp14:editId="1DB5D951">
                  <wp:extent cx="1133475" cy="11049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5EBC02" wp14:editId="215F92C9">
                  <wp:extent cx="1362075" cy="12096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Если после 5 ударов инородное тело не удалено, то следует: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встать позади пострадавшего и обхватить его обеими руками на уровне верхней части живота; 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- сжать кулак одной из рук и поместить его над пупком большим пальцем к себе;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- обхватить кулак другой рукой и, слегка наклонив пострадавшего вперед, резко надавить на его живот в направлении внутрь и кверху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- при необходимости надавливания повторить до 5 раз.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Если удалить инородное тело не удалось, необходимо продолжать попытки его удаления, перемежая пять ударов по спине с пятью надавливаниями на живот. 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Если пострадавший потерял сознание – необходимо начать сердечно-лёгочную реанимацию в объеме давления руками на грудину и искусственного дыхания. При этом следует следить за возможным появлением инородного тела во рту для того, чтобы своевременно удалить его.</w:t>
            </w:r>
          </w:p>
        </w:tc>
      </w:tr>
      <w:tr w:rsidR="00F3432E" w:rsidRPr="008B0B87" w:rsidTr="00B90C47">
        <w:tc>
          <w:tcPr>
            <w:tcW w:w="3403" w:type="dxa"/>
          </w:tcPr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lastRenderedPageBreak/>
              <w:t>Удары по спине</w:t>
            </w: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8EFEBC" wp14:editId="0ACF6AB6">
                  <wp:extent cx="1647825" cy="15144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В случае, если инородное тело нарушило проходимость дыхательных путей у тучного человека или беременной женщины, оказание первой помощи начинается также, как описано выше, с 5 ударов между лопатками.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F3432E" w:rsidRPr="008B0B87" w:rsidTr="00B90C47">
        <w:tc>
          <w:tcPr>
            <w:tcW w:w="3403" w:type="dxa"/>
          </w:tcPr>
          <w:p w:rsidR="00F3432E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Надавливания на грудную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клетку</w:t>
            </w:r>
          </w:p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3D779F" wp14:editId="1B22EEBF">
                  <wp:extent cx="1581150" cy="1301034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497" cy="13136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У тучных людей или беременных женщин не осуществляется давление на живот. Вместо него проводятся надавливания на нижнюю часть груди</w:t>
            </w:r>
          </w:p>
        </w:tc>
      </w:tr>
      <w:tr w:rsidR="00F3432E" w:rsidRPr="008B0B87" w:rsidTr="00B90C47">
        <w:tc>
          <w:tcPr>
            <w:tcW w:w="10059" w:type="dxa"/>
            <w:gridSpan w:val="2"/>
          </w:tcPr>
          <w:p w:rsidR="00F3432E" w:rsidRPr="00E67E05" w:rsidRDefault="00F3432E" w:rsidP="00B90C47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Особенности оказания первой помощи детям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Если инородное тело перекрыло дыхательные пути ребенку, то помощь оказывается похожим образом. Однако следует помнить о необходимости дозирования усилий (удары и надавливания наносятся с меньшей силой). Кроме того, детям до 1 года нельзя выполнять надавливания на живот. Вместо них производятся толчки в нижнюю часть грудной клетки двумя пальцами. При выполнении ударов и толчков грудным детям следует располагать их на предплечье человека, оказывающего помощь, головой вниз; при этом необходимо придерживать голову ребенка.</w:t>
            </w:r>
          </w:p>
          <w:p w:rsidR="00F3432E" w:rsidRPr="00E67E05" w:rsidRDefault="00F3432E" w:rsidP="00B90C47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67E05">
              <w:rPr>
                <w:rFonts w:ascii="Times New Roman" w:eastAsiaTheme="minorHAnsi" w:hAnsi="Times New Roman" w:cs="Times New Roman"/>
                <w:sz w:val="28"/>
                <w:szCs w:val="28"/>
              </w:rPr>
              <w:t>Детям старше 1 года можно выполнять надавливания на живот над пупком, дозируя усилие соответственно возрасту.</w:t>
            </w:r>
          </w:p>
        </w:tc>
      </w:tr>
    </w:tbl>
    <w:p w:rsidR="00F3432E" w:rsidRPr="008B0B87" w:rsidRDefault="00F3432E" w:rsidP="00F3432E">
      <w:pPr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F3432E" w:rsidRDefault="00F3432E" w:rsidP="00F3432E"/>
    <w:p w:rsidR="00CB256A" w:rsidRDefault="00CB256A">
      <w:bookmarkStart w:id="0" w:name="_GoBack"/>
      <w:bookmarkEnd w:id="0"/>
    </w:p>
    <w:sectPr w:rsidR="00CB256A" w:rsidSect="00E67E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6A"/>
    <w:rsid w:val="002D496A"/>
    <w:rsid w:val="00CB256A"/>
    <w:rsid w:val="00F3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D3738-47F1-4034-911A-0509310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2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Хохлова</dc:creator>
  <cp:keywords/>
  <dc:description/>
  <cp:lastModifiedBy>Галина Николаевна Хохлова</cp:lastModifiedBy>
  <cp:revision>2</cp:revision>
  <dcterms:created xsi:type="dcterms:W3CDTF">2024-03-05T08:42:00Z</dcterms:created>
  <dcterms:modified xsi:type="dcterms:W3CDTF">2024-03-05T08:42:00Z</dcterms:modified>
</cp:coreProperties>
</file>