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670"/>
        <w:jc w:val="right"/>
        <w:rPr>
          <w:rFonts w:ascii="Times New Roman" w:hAnsi="Times New Roman" w:cs="Times New Roman"/>
          <w:sz w:val="24"/>
          <w:szCs w:val="24"/>
        </w:rPr>
      </w:pPr>
      <w:bookmarkStart w:id="0" w:name="_Toc400565214"/>
      <w:r>
        <w:rPr>
          <w:rFonts w:cs="Times New Roman" w:ascii="Times New Roman" w:hAnsi="Times New Roman"/>
          <w:sz w:val="24"/>
          <w:szCs w:val="24"/>
        </w:rPr>
        <w:t>Приложение № 3 к Порядку проведения и проверки итогового сочинения (изложения) в Республике Карелия в 2025-2026 учебном году</w:t>
      </w:r>
      <w:bookmarkEnd w:id="0"/>
    </w:p>
    <w:p>
      <w:pPr>
        <w:pStyle w:val="Normal"/>
        <w:jc w:val="center"/>
        <w:rPr>
          <w:rFonts w:ascii="Times New Roman" w:hAnsi="Times New Roman"/>
          <w:b/>
          <w:sz w:val="26"/>
          <w:szCs w:val="26"/>
        </w:rPr>
      </w:pPr>
      <w:r>
        <w:rPr>
          <w:rFonts w:ascii="Times New Roman" w:hAnsi="Times New Roman"/>
          <w:b/>
          <w:sz w:val="26"/>
          <w:szCs w:val="26"/>
        </w:rPr>
      </w:r>
    </w:p>
    <w:p>
      <w:pPr>
        <w:pStyle w:val="Normal"/>
        <w:spacing w:lineRule="auto" w:line="240" w:before="0" w:after="0"/>
        <w:jc w:val="center"/>
        <w:rPr>
          <w:rFonts w:ascii="Times New Roman" w:hAnsi="Times New Roman" w:eastAsia="" w:cs="Times New Roman" w:eastAsiaTheme="majorEastAsia"/>
          <w:b/>
          <w:bCs/>
          <w:sz w:val="26"/>
          <w:szCs w:val="26"/>
        </w:rPr>
      </w:pPr>
      <w:r>
        <w:rPr>
          <w:rFonts w:ascii="Times New Roman" w:hAnsi="Times New Roman"/>
          <w:b/>
          <w:sz w:val="26"/>
          <w:szCs w:val="26"/>
        </w:rPr>
        <w:t>Технический регламент проведения итогового сочинения (изложения)</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Настоящий </w:t>
      </w:r>
      <w:r>
        <w:rPr>
          <w:rFonts w:ascii="Times New Roman" w:hAnsi="Times New Roman"/>
          <w:sz w:val="26"/>
          <w:szCs w:val="26"/>
        </w:rPr>
        <w:t>Технический регламент проведения итогового сочинения (изложения)</w:t>
      </w:r>
      <w:r>
        <w:rPr>
          <w:rFonts w:cs="Times New Roman" w:ascii="Times New Roman" w:hAnsi="Times New Roman"/>
          <w:sz w:val="26"/>
          <w:szCs w:val="26"/>
        </w:rPr>
        <w:t xml:space="preserve"> (далее – технический регламент) содержит описание:</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требований к программно-аппаратному обеспечению на региональном, муниципальном уровнях и на уровне образовательных организаций;</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архитектуры и состава программного обеспечения на региональном, муниципальном уровнях и на уровне образовательных организаций;</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материально-технического оснащения на региональном, муниципальном уровнях и уров</w:t>
      </w:r>
      <w:bookmarkStart w:id="1" w:name="_Toc431386288"/>
      <w:bookmarkStart w:id="2" w:name="_Toc399943932"/>
      <w:bookmarkStart w:id="3" w:name="_Toc383949005"/>
      <w:bookmarkStart w:id="4" w:name="_Toc307487889"/>
      <w:bookmarkStart w:id="5" w:name="_Toc305752563"/>
      <w:bookmarkStart w:id="6" w:name="_Toc231713686"/>
      <w:r>
        <w:rPr>
          <w:rFonts w:cs="Times New Roman" w:ascii="Times New Roman" w:hAnsi="Times New Roman"/>
          <w:sz w:val="26"/>
          <w:szCs w:val="26"/>
        </w:rPr>
        <w:t>не образовательных организаций.</w:t>
      </w:r>
      <w:bookmarkEnd w:id="1"/>
      <w:bookmarkEnd w:id="2"/>
      <w:bookmarkEnd w:id="3"/>
      <w:bookmarkEnd w:id="4"/>
      <w:bookmarkEnd w:id="5"/>
      <w:bookmarkEnd w:id="6"/>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приведен перечень используемых в документе сокращений и условных обозначений:</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1851"/>
        <w:gridCol w:w="7502"/>
      </w:tblGrid>
      <w:tr>
        <w:trPr>
          <w:tblHeader w:val="true"/>
        </w:trPr>
        <w:tc>
          <w:tcPr>
            <w:tcW w:w="18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yle20"/>
              <w:spacing w:before="0" w:after="0"/>
              <w:jc w:val="center"/>
              <w:rPr>
                <w:b/>
                <w:color w:val="auto"/>
                <w:sz w:val="26"/>
                <w:szCs w:val="26"/>
              </w:rPr>
            </w:pPr>
            <w:r>
              <w:rPr>
                <w:b/>
                <w:color w:val="auto"/>
                <w:sz w:val="26"/>
                <w:szCs w:val="26"/>
              </w:rPr>
              <w:t>Сокращение, условное обозначение</w:t>
            </w:r>
          </w:p>
        </w:tc>
        <w:tc>
          <w:tcPr>
            <w:tcW w:w="750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yle20"/>
              <w:spacing w:before="0" w:after="0"/>
              <w:jc w:val="center"/>
              <w:rPr>
                <w:b/>
                <w:color w:val="auto"/>
                <w:sz w:val="26"/>
                <w:szCs w:val="26"/>
              </w:rPr>
            </w:pPr>
            <w:r>
              <w:rPr>
                <w:b/>
                <w:color w:val="auto"/>
                <w:sz w:val="26"/>
                <w:szCs w:val="26"/>
              </w:rPr>
              <w:t>Расшифровка сокращения, условного обозначения</w:t>
            </w:r>
          </w:p>
        </w:tc>
      </w:tr>
      <w:tr>
        <w:trPr>
          <w:trHeight w:val="170"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lang w:val="en-US"/>
              </w:rPr>
            </w:pPr>
            <w:bookmarkStart w:id="7" w:name="_Hlk382472921"/>
            <w:bookmarkEnd w:id="7"/>
            <w:r>
              <w:rPr>
                <w:sz w:val="26"/>
                <w:szCs w:val="26"/>
                <w:lang w:val="en-US"/>
              </w:rPr>
              <w:t>БД</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19"/>
              <w:spacing w:before="0" w:after="0"/>
              <w:rPr>
                <w:rFonts w:eastAsia="Calibri"/>
                <w:sz w:val="26"/>
                <w:szCs w:val="26"/>
                <w:lang w:eastAsia="en-US"/>
              </w:rPr>
            </w:pPr>
            <w:r>
              <w:rPr>
                <w:rFonts w:eastAsia="Calibri"/>
                <w:sz w:val="26"/>
                <w:szCs w:val="26"/>
                <w:lang w:eastAsia="en-US"/>
              </w:rPr>
              <w:t>База данных</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lang w:val="en-US"/>
              </w:rPr>
              <w:t>ГИА</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19"/>
              <w:spacing w:before="0" w:after="0"/>
              <w:rPr>
                <w:rFonts w:eastAsia="Calibri"/>
                <w:sz w:val="26"/>
                <w:szCs w:val="26"/>
                <w:lang w:eastAsia="en-US"/>
              </w:rPr>
            </w:pPr>
            <w:r>
              <w:rPr>
                <w:rFonts w:eastAsia="Calibri"/>
                <w:sz w:val="26"/>
                <w:szCs w:val="26"/>
                <w:lang w:eastAsia="en-US"/>
              </w:rPr>
              <w:t>Государственная итоговая аттестация по образовательным программам среднего общего образования</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rPr>
              <w:t>МСУ</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Орган местного самоуправления, осуществляющий управление в сфере образования</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rPr>
              <w:t>ОИВ</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Орган исполнительной власти субъекта Российской Федерации, осуществляющий государственное управление в сфере образования</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rPr>
              <w:t>ОО</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Образовательная</w:t>
            </w:r>
            <w:r>
              <w:rPr>
                <w:sz w:val="26"/>
                <w:szCs w:val="26"/>
                <w:lang w:val="en-US"/>
              </w:rPr>
              <w:t xml:space="preserve"> </w:t>
            </w:r>
            <w:r>
              <w:rPr>
                <w:sz w:val="26"/>
                <w:szCs w:val="26"/>
              </w:rPr>
              <w:t>организация</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rPr>
              <w:t>ПО</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Программное обеспечение</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lang w:val="en-US"/>
              </w:rPr>
              <w:t>Р</w:t>
            </w:r>
            <w:r>
              <w:rPr>
                <w:sz w:val="26"/>
                <w:szCs w:val="26"/>
              </w:rPr>
              <w:t>ИС</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Региональные информационные системы обеспечения проведения ГИА обучающихся, освоивших основные образовательные программы основного общего и среднего общего образования, субъектов Российской Федерации</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rPr>
              <w:t>РУ</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Региональный уровень</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lang w:val="en-US"/>
              </w:rPr>
              <w:t>Р</w:t>
            </w:r>
            <w:r>
              <w:rPr>
                <w:sz w:val="26"/>
                <w:szCs w:val="26"/>
              </w:rPr>
              <w:t>ЦОИ</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Региональный центр обработки информации субъекта Российской Федерации</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lang w:val="en-US"/>
              </w:rPr>
              <w:t>Ф</w:t>
            </w:r>
            <w:r>
              <w:rPr>
                <w:sz w:val="26"/>
                <w:szCs w:val="26"/>
              </w:rPr>
              <w:t>ИС</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trPr>
          <w:trHeight w:val="197" w:hRule="atLeast"/>
        </w:trPr>
        <w:tc>
          <w:tcPr>
            <w:tcW w:w="1851"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jc w:val="center"/>
              <w:rPr>
                <w:sz w:val="26"/>
                <w:szCs w:val="26"/>
              </w:rPr>
            </w:pPr>
            <w:r>
              <w:rPr>
                <w:sz w:val="26"/>
                <w:szCs w:val="26"/>
              </w:rPr>
              <w:t>ФУ</w:t>
            </w:r>
          </w:p>
        </w:tc>
        <w:tc>
          <w:tcPr>
            <w:tcW w:w="7502" w:type="dxa"/>
            <w:tcBorders>
              <w:top w:val="single" w:sz="4" w:space="0" w:color="000000"/>
              <w:left w:val="single" w:sz="4" w:space="0" w:color="000000"/>
              <w:bottom w:val="single" w:sz="4" w:space="0" w:color="000000"/>
              <w:right w:val="single" w:sz="4" w:space="0" w:color="000000"/>
            </w:tcBorders>
            <w:vAlign w:val="center"/>
          </w:tcPr>
          <w:p>
            <w:pPr>
              <w:pStyle w:val="Style21"/>
              <w:spacing w:before="0" w:after="0"/>
              <w:rPr>
                <w:sz w:val="26"/>
                <w:szCs w:val="26"/>
              </w:rPr>
            </w:pPr>
            <w:r>
              <w:rPr>
                <w:sz w:val="26"/>
                <w:szCs w:val="26"/>
              </w:rPr>
              <w:t>Федеральный уровень</w:t>
            </w:r>
          </w:p>
        </w:tc>
      </w:tr>
    </w:tbl>
    <w:p>
      <w:pPr>
        <w:pStyle w:val="11"/>
        <w:rPr/>
      </w:pPr>
      <w:r>
        <w:rPr/>
      </w:r>
      <w:bookmarkStart w:id="8" w:name="_Hlk382472921_Копия_1"/>
      <w:bookmarkStart w:id="9" w:name="_Hlk382472921_Копия_1"/>
      <w:bookmarkEnd w:id="9"/>
    </w:p>
    <w:p>
      <w:pPr>
        <w:pStyle w:val="Normal"/>
        <w:rPr/>
      </w:pPr>
      <w:r>
        <w:rPr/>
      </w:r>
    </w:p>
    <w:p>
      <w:pPr>
        <w:pStyle w:val="11"/>
        <w:numPr>
          <w:ilvl w:val="0"/>
          <w:numId w:val="2"/>
        </w:numPr>
        <w:rPr>
          <w:sz w:val="26"/>
          <w:szCs w:val="26"/>
        </w:rPr>
      </w:pPr>
      <w:r>
        <w:rPr>
          <w:sz w:val="26"/>
          <w:szCs w:val="26"/>
        </w:rPr>
        <w:t>Архитектура и состав программного обеспечения</w:t>
      </w:r>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Схема ПО, используемого для проведения итогового сочинения (изложения), приведена на рисунке ниже (см. Рисунок 1). На схеме приведены только новые или значительно модернизированные по сравнению со стандартной технологией проведения ЕГЭ модули и подсистемы.</w:t>
      </w:r>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keepNext w:val="true"/>
        <w:ind w:firstLine="709"/>
        <w:jc w:val="center"/>
        <w:rPr>
          <w:rFonts w:ascii="Times New Roman" w:hAnsi="Times New Roman" w:cs="Times New Roman"/>
          <w:sz w:val="26"/>
          <w:szCs w:val="26"/>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07.5pt;height:542.25pt;mso-wrap-distance-right:0pt" filled="f" o:ole="">
            <v:imagedata r:id="rId3" o:title=""/>
          </v:shape>
          <o:OLEObject Type="Embed" ProgID="Visio.Drawing.11" ShapeID="ole_rId2" DrawAspect="Content" ObjectID="_1594269118" r:id="rId2"/>
        </w:object>
      </w:r>
    </w:p>
    <w:p>
      <w:pPr>
        <w:pStyle w:val="Caption"/>
        <w:spacing w:lineRule="auto" w:line="276"/>
        <w:jc w:val="center"/>
        <w:rPr>
          <w:rFonts w:ascii="Times New Roman" w:hAnsi="Times New Roman" w:cs="Times New Roman"/>
          <w:b w:val="false"/>
          <w:bCs w:val="false"/>
          <w:color w:val="auto"/>
          <w:sz w:val="26"/>
          <w:szCs w:val="26"/>
        </w:rPr>
      </w:pPr>
      <w:r>
        <w:rPr>
          <w:rFonts w:cs="Times New Roman" w:ascii="Times New Roman" w:hAnsi="Times New Roman"/>
          <w:b w:val="false"/>
          <w:bCs w:val="false"/>
          <w:color w:val="auto"/>
          <w:sz w:val="26"/>
          <w:szCs w:val="26"/>
        </w:rPr>
        <w:t xml:space="preserve">Рисунок </w:t>
      </w:r>
      <w:r>
        <w:rPr>
          <w:rFonts w:cs="Times New Roman" w:ascii="Times New Roman" w:hAnsi="Times New Roman"/>
          <w:b w:val="false"/>
          <w:bCs w:val="false"/>
          <w:color w:val="auto"/>
          <w:sz w:val="26"/>
          <w:szCs w:val="26"/>
        </w:rPr>
        <w:fldChar w:fldCharType="begin"/>
      </w:r>
      <w:r>
        <w:rPr>
          <w:sz w:val="26"/>
          <w:b w:val="false"/>
          <w:szCs w:val="26"/>
          <w:bCs w:val="false"/>
          <w:rFonts w:cs="Times New Roman" w:ascii="Times New Roman" w:hAnsi="Times New Roman"/>
          <w:color w:val="auto"/>
        </w:rPr>
        <w:instrText xml:space="preserve"> SEQ Рисунок \* ARABIC </w:instrText>
      </w:r>
      <w:r>
        <w:rPr>
          <w:sz w:val="26"/>
          <w:b w:val="false"/>
          <w:szCs w:val="26"/>
          <w:bCs w:val="false"/>
          <w:rFonts w:cs="Times New Roman" w:ascii="Times New Roman" w:hAnsi="Times New Roman"/>
          <w:color w:val="auto"/>
        </w:rPr>
        <w:fldChar w:fldCharType="separate"/>
      </w:r>
      <w:r>
        <w:rPr>
          <w:sz w:val="26"/>
          <w:b w:val="false"/>
          <w:szCs w:val="26"/>
          <w:bCs w:val="false"/>
          <w:rFonts w:cs="Times New Roman" w:ascii="Times New Roman" w:hAnsi="Times New Roman"/>
          <w:color w:val="auto"/>
        </w:rPr>
        <w:t>1</w:t>
      </w:r>
      <w:r>
        <w:rPr>
          <w:sz w:val="26"/>
          <w:b w:val="false"/>
          <w:szCs w:val="26"/>
          <w:bCs w:val="false"/>
          <w:rFonts w:cs="Times New Roman" w:ascii="Times New Roman" w:hAnsi="Times New Roman"/>
          <w:color w:val="auto"/>
        </w:rPr>
        <w:fldChar w:fldCharType="end"/>
      </w:r>
      <w:r>
        <w:rPr>
          <w:rFonts w:cs="Times New Roman" w:ascii="Times New Roman" w:hAnsi="Times New Roman"/>
          <w:b w:val="false"/>
          <w:bCs w:val="false"/>
          <w:color w:val="auto"/>
          <w:sz w:val="26"/>
          <w:szCs w:val="26"/>
        </w:rPr>
        <w:t xml:space="preserve"> – Архитектура и состав ПО</w:t>
      </w:r>
    </w:p>
    <w:p>
      <w:pPr>
        <w:pStyle w:val="11"/>
        <w:keepNext w:val="true"/>
        <w:keepLines/>
        <w:widowControl/>
        <w:numPr>
          <w:ilvl w:val="0"/>
          <w:numId w:val="2"/>
        </w:numPr>
        <w:tabs>
          <w:tab w:val="left" w:pos="1" w:leader="none"/>
          <w:tab w:val="left" w:pos="284" w:leader="none"/>
          <w:tab w:val="left" w:pos="450" w:leader="none"/>
          <w:tab w:val="left" w:pos="568" w:leader="none"/>
          <w:tab w:val="left" w:pos="851" w:leader="none"/>
          <w:tab w:val="left" w:pos="1134" w:leader="none"/>
          <w:tab w:val="left" w:pos="1418" w:leader="none"/>
          <w:tab w:val="left" w:pos="1701" w:leader="none"/>
          <w:tab w:val="left" w:pos="1985" w:leader="none"/>
        </w:tabs>
        <w:suppressAutoHyphens w:val="true"/>
        <w:bidi w:val="0"/>
        <w:spacing w:lineRule="auto" w:line="240" w:before="240" w:after="60"/>
        <w:ind w:firstLine="624" w:left="0" w:right="0"/>
        <w:jc w:val="both"/>
        <w:rPr>
          <w:sz w:val="26"/>
          <w:szCs w:val="26"/>
        </w:rPr>
      </w:pPr>
      <w:bookmarkStart w:id="10" w:name="_Toc494819262"/>
      <w:r>
        <w:rPr>
          <w:sz w:val="26"/>
          <w:szCs w:val="26"/>
        </w:rPr>
        <w:t>Требования к техническому и программному оснащению рабочих станций</w:t>
      </w:r>
      <w:bookmarkEnd w:id="10"/>
    </w:p>
    <w:p>
      <w:pPr>
        <w:pStyle w:val="Heading2"/>
        <w:numPr>
          <w:ilvl w:val="1"/>
          <w:numId w:val="2"/>
        </w:numPr>
        <w:tabs>
          <w:tab w:val="clear" w:pos="568"/>
          <w:tab w:val="clear" w:pos="1134"/>
          <w:tab w:val="clear" w:pos="1418"/>
          <w:tab w:val="left" w:pos="0" w:leader="none"/>
          <w:tab w:val="left" w:pos="284" w:leader="none"/>
          <w:tab w:val="left" w:pos="1701" w:leader="none"/>
          <w:tab w:val="left" w:pos="1985" w:leader="none"/>
        </w:tabs>
        <w:spacing w:before="0" w:after="0"/>
        <w:ind w:firstLine="709" w:left="0"/>
        <w:rPr>
          <w:sz w:val="26"/>
          <w:szCs w:val="26"/>
        </w:rPr>
      </w:pPr>
      <w:bookmarkStart w:id="11" w:name="_Toc494819263"/>
      <w:r>
        <w:rPr>
          <w:sz w:val="26"/>
          <w:szCs w:val="26"/>
        </w:rPr>
        <w:t>Региональный уровень</w:t>
      </w:r>
      <w:bookmarkEnd w:id="11"/>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2.1) приведены требования к оборудованию, которое должно входить в состав рабочей станции  на региональном уровне.</w:t>
      </w:r>
    </w:p>
    <w:p>
      <w:pPr>
        <w:pStyle w:val="Normal"/>
        <w:tabs>
          <w:tab w:val="clear" w:pos="708"/>
          <w:tab w:val="left" w:pos="0" w:leader="none"/>
        </w:tabs>
        <w:spacing w:lineRule="auto" w:line="240" w:before="0" w:after="0"/>
        <w:jc w:val="right"/>
        <w:rPr>
          <w:rFonts w:ascii="Times New Roman" w:hAnsi="Times New Roman" w:cs="Times New Roman"/>
          <w:sz w:val="26"/>
          <w:szCs w:val="26"/>
        </w:rPr>
      </w:pPr>
      <w:r>
        <w:rPr>
          <w:rFonts w:cs="Times New Roman" w:ascii="Times New Roman" w:hAnsi="Times New Roman"/>
          <w:sz w:val="26"/>
          <w:szCs w:val="26"/>
        </w:rPr>
        <w:t xml:space="preserve">Таблица </w:t>
      </w:r>
      <w:r>
        <w:rPr>
          <w:rFonts w:cs="Times New Roman" w:ascii="Times New Roman" w:hAnsi="Times New Roman"/>
          <w:b/>
          <w:bCs/>
          <w:sz w:val="26"/>
          <w:szCs w:val="26"/>
        </w:rPr>
        <w:fldChar w:fldCharType="begin"/>
      </w:r>
      <w:r>
        <w:rPr>
          <w:sz w:val="26"/>
          <w:b/>
          <w:szCs w:val="26"/>
          <w:bCs/>
          <w:rFonts w:cs="Times New Roman" w:ascii="Times New Roman" w:hAnsi="Times New Roman"/>
        </w:rPr>
        <w:instrText xml:space="preserve"> STYLEREF "1" </w:instrText>
      </w:r>
      <w:r>
        <w:rPr>
          <w:sz w:val="26"/>
          <w:b/>
          <w:szCs w:val="26"/>
          <w:bCs/>
          <w:rFonts w:cs="Times New Roman" w:ascii="Times New Roman" w:hAnsi="Times New Roman"/>
        </w:rPr>
        <w:fldChar w:fldCharType="separate"/>
      </w:r>
      <w:r>
        <w:rPr>
          <w:sz w:val="26"/>
          <w:b/>
          <w:szCs w:val="26"/>
          <w:bCs/>
          <w:rFonts w:cs="Times New Roman" w:ascii="Times New Roman" w:hAnsi="Times New Roman"/>
        </w:rPr>
        <w:t>Ошибка: источник перекрёстной ссылки не найден</w:t>
      </w:r>
      <w:r>
        <w:rPr>
          <w:sz w:val="26"/>
          <w:b/>
          <w:szCs w:val="26"/>
          <w:bCs/>
          <w:rFonts w:cs="Times New Roman" w:ascii="Times New Roman" w:hAnsi="Times New Roman"/>
        </w:rPr>
        <w:fldChar w:fldCharType="end"/>
      </w:r>
      <w:r>
        <w:rPr>
          <w:rFonts w:cs="Times New Roman" w:ascii="Times New Roman" w:hAnsi="Times New Roman"/>
          <w:sz w:val="26"/>
          <w:szCs w:val="26"/>
        </w:rPr>
        <w:t>.</w:t>
      </w:r>
      <w:r>
        <w:rPr>
          <w:rFonts w:cs="Times New Roman" w:ascii="Times New Roman" w:hAnsi="Times New Roman"/>
          <w:b/>
          <w:bCs/>
          <w:sz w:val="26"/>
          <w:szCs w:val="26"/>
        </w:rPr>
        <w:fldChar w:fldCharType="begin"/>
      </w:r>
      <w:r>
        <w:rPr>
          <w:sz w:val="26"/>
          <w:b/>
          <w:szCs w:val="26"/>
          <w:bCs/>
          <w:rFonts w:cs="Times New Roman" w:ascii="Times New Roman" w:hAnsi="Times New Roman"/>
        </w:rPr>
        <w:instrText xml:space="preserve"> SEQ Таблица \* ARABIC </w:instrText>
      </w:r>
      <w:r>
        <w:rPr>
          <w:sz w:val="26"/>
          <w:b/>
          <w:szCs w:val="26"/>
          <w:bCs/>
          <w:rFonts w:cs="Times New Roman" w:ascii="Times New Roman" w:hAnsi="Times New Roman"/>
        </w:rPr>
        <w:fldChar w:fldCharType="separate"/>
      </w:r>
      <w:r>
        <w:rPr>
          <w:sz w:val="26"/>
          <w:b/>
          <w:szCs w:val="26"/>
          <w:bCs/>
          <w:rFonts w:cs="Times New Roman" w:ascii="Times New Roman" w:hAnsi="Times New Roman"/>
        </w:rPr>
        <w:t>1</w:t>
      </w:r>
      <w:r>
        <w:rPr>
          <w:sz w:val="26"/>
          <w:b/>
          <w:szCs w:val="26"/>
          <w:bCs/>
          <w:rFonts w:cs="Times New Roman" w:ascii="Times New Roman" w:hAnsi="Times New Roman"/>
        </w:rPr>
        <w:fldChar w:fldCharType="end"/>
      </w:r>
      <w:r>
        <w:rPr>
          <w:rFonts w:cs="Times New Roman" w:ascii="Times New Roman" w:hAnsi="Times New Roman"/>
          <w:sz w:val="26"/>
          <w:szCs w:val="26"/>
        </w:rPr>
        <w:t xml:space="preserve"> </w:t>
      </w:r>
    </w:p>
    <w:p>
      <w:pPr>
        <w:pStyle w:val="Normal"/>
        <w:tabs>
          <w:tab w:val="clear" w:pos="708"/>
          <w:tab w:val="left" w:pos="0"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Требования к рабочей станции на региональном уровне</w:t>
      </w:r>
    </w:p>
    <w:p>
      <w:pPr>
        <w:pStyle w:val="Normal"/>
        <w:tabs>
          <w:tab w:val="clear" w:pos="708"/>
          <w:tab w:val="left" w:pos="0"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456"/>
        <w:gridCol w:w="5899"/>
      </w:tblGrid>
      <w:tr>
        <w:trPr>
          <w:tblHeader w:val="true"/>
          <w:cantSplit w:val="true"/>
        </w:trPr>
        <w:tc>
          <w:tcPr>
            <w:tcW w:w="3456" w:type="dxa"/>
            <w:tcBorders>
              <w:top w:val="single" w:sz="12" w:space="0" w:color="000000"/>
              <w:left w:val="single" w:sz="8" w:space="0" w:color="000000"/>
              <w:bottom w:val="single" w:sz="4" w:space="0" w:color="000000"/>
              <w:right w:val="single" w:sz="4" w:space="0" w:color="000000"/>
            </w:tcBorders>
            <w:shd w:color="auto" w:fill="auto" w:val="clear"/>
          </w:tcPr>
          <w:p>
            <w:pPr>
              <w:pStyle w:val="Style18"/>
              <w:keepNext w:val="false"/>
              <w:tabs>
                <w:tab w:val="clear" w:pos="708"/>
                <w:tab w:val="left" w:pos="0" w:leader="none"/>
              </w:tabs>
              <w:spacing w:before="0" w:after="0"/>
              <w:rPr>
                <w:sz w:val="26"/>
                <w:szCs w:val="26"/>
              </w:rPr>
            </w:pPr>
            <w:r>
              <w:rPr>
                <w:sz w:val="26"/>
                <w:szCs w:val="26"/>
              </w:rPr>
              <w:t>Компонент</w:t>
            </w:r>
          </w:p>
        </w:tc>
        <w:tc>
          <w:tcPr>
            <w:tcW w:w="5899" w:type="dxa"/>
            <w:tcBorders>
              <w:top w:val="single" w:sz="12" w:space="0" w:color="000000"/>
              <w:left w:val="single" w:sz="4" w:space="0" w:color="000000"/>
              <w:bottom w:val="single" w:sz="4" w:space="0" w:color="000000"/>
              <w:right w:val="single" w:sz="8" w:space="0" w:color="000000"/>
            </w:tcBorders>
            <w:shd w:color="auto" w:fill="auto" w:val="clear"/>
          </w:tcPr>
          <w:p>
            <w:pPr>
              <w:pStyle w:val="Style18"/>
              <w:keepNext w:val="false"/>
              <w:tabs>
                <w:tab w:val="clear" w:pos="708"/>
                <w:tab w:val="left" w:pos="0" w:leader="none"/>
              </w:tabs>
              <w:spacing w:before="0" w:after="0"/>
              <w:rPr>
                <w:sz w:val="26"/>
                <w:szCs w:val="26"/>
              </w:rPr>
            </w:pPr>
            <w:r>
              <w:rPr>
                <w:sz w:val="26"/>
                <w:szCs w:val="26"/>
              </w:rPr>
              <w:t>Конфигурация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tabs>
                <w:tab w:val="clear" w:pos="708"/>
                <w:tab w:val="left" w:pos="0" w:leader="none"/>
              </w:tabs>
              <w:spacing w:before="0" w:after="0"/>
              <w:jc w:val="both"/>
              <w:rPr>
                <w:b w:val="false"/>
                <w:sz w:val="26"/>
                <w:szCs w:val="26"/>
              </w:rPr>
            </w:pPr>
            <w:r>
              <w:rPr>
                <w:b w:val="false"/>
                <w:sz w:val="26"/>
                <w:szCs w:val="26"/>
              </w:rPr>
              <w:t>Рабочая станция в РЦОИ</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tabs>
                <w:tab w:val="clear" w:pos="708"/>
                <w:tab w:val="left" w:pos="0" w:leader="none"/>
              </w:tabs>
              <w:spacing w:before="0" w:after="0"/>
              <w:jc w:val="both"/>
              <w:rPr>
                <w:b w:val="false"/>
                <w:sz w:val="26"/>
                <w:szCs w:val="26"/>
              </w:rPr>
            </w:pPr>
            <w:r>
              <w:rPr>
                <w:b w:val="false"/>
                <w:sz w:val="26"/>
                <w:szCs w:val="26"/>
              </w:rPr>
              <w:t>Наличие стабильного канала связи с выходом в Интернет.</w:t>
            </w:r>
          </w:p>
          <w:p>
            <w:pPr>
              <w:pStyle w:val="Style18"/>
              <w:tabs>
                <w:tab w:val="clear" w:pos="708"/>
                <w:tab w:val="left" w:pos="0" w:leader="none"/>
              </w:tabs>
              <w:spacing w:before="0" w:after="0"/>
              <w:jc w:val="both"/>
              <w:rPr>
                <w:b w:val="false"/>
                <w:sz w:val="26"/>
                <w:szCs w:val="26"/>
              </w:rPr>
            </w:pPr>
            <w:r>
              <w:rPr>
                <w:b w:val="false"/>
                <w:sz w:val="26"/>
                <w:szCs w:val="26"/>
              </w:rPr>
              <w:t xml:space="preserve">Наличие </w:t>
            </w:r>
            <w:r>
              <w:rPr>
                <w:b w:val="false"/>
                <w:sz w:val="26"/>
                <w:szCs w:val="26"/>
              </w:rPr>
              <w:t>внешн</w:t>
            </w:r>
            <w:r>
              <w:rPr>
                <w:b w:val="false"/>
                <w:sz w:val="26"/>
                <w:szCs w:val="26"/>
              </w:rPr>
              <w:t>его</w:t>
            </w:r>
            <w:r>
              <w:rPr>
                <w:b w:val="false"/>
                <w:sz w:val="26"/>
                <w:szCs w:val="26"/>
              </w:rPr>
              <w:t xml:space="preserve"> интерфейс</w:t>
            </w:r>
            <w:r>
              <w:rPr>
                <w:b w:val="false"/>
                <w:sz w:val="26"/>
                <w:szCs w:val="26"/>
              </w:rPr>
              <w:t>а</w:t>
            </w:r>
            <w:r>
              <w:rPr>
                <w:b w:val="false"/>
                <w:sz w:val="26"/>
                <w:szCs w:val="26"/>
              </w:rPr>
              <w:t>: USB 2.0/</w:t>
            </w:r>
            <w:r>
              <w:rPr>
                <w:b w:val="false"/>
                <w:sz w:val="26"/>
                <w:szCs w:val="26"/>
              </w:rPr>
              <w:t>3.0</w:t>
            </w:r>
            <w:r>
              <w:rPr>
                <w:b w:val="false"/>
                <w:sz w:val="26"/>
                <w:szCs w:val="26"/>
              </w:rPr>
              <w:t>.</w:t>
            </w:r>
          </w:p>
          <w:p>
            <w:pPr>
              <w:pStyle w:val="Style18"/>
              <w:keepNext w:val="false"/>
              <w:tabs>
                <w:tab w:val="clear" w:pos="708"/>
                <w:tab w:val="left" w:pos="0" w:leader="none"/>
              </w:tabs>
              <w:spacing w:before="0" w:after="0"/>
              <w:jc w:val="both"/>
              <w:rPr>
                <w:b w:val="false"/>
                <w:sz w:val="26"/>
                <w:szCs w:val="26"/>
              </w:rPr>
            </w:pPr>
            <w:r>
              <w:rPr>
                <w:b w:val="false"/>
                <w:sz w:val="26"/>
                <w:szCs w:val="26"/>
              </w:rPr>
              <w:t>Дополнительных специальных требований к рабочей станции не предъявляется.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tabs>
                <w:tab w:val="clear" w:pos="708"/>
                <w:tab w:val="left" w:pos="0" w:leader="none"/>
              </w:tabs>
              <w:spacing w:before="0" w:after="0"/>
              <w:rPr>
                <w:b w:val="false"/>
                <w:sz w:val="26"/>
                <w:szCs w:val="26"/>
              </w:rPr>
            </w:pPr>
            <w:r>
              <w:rPr>
                <w:b w:val="false"/>
                <w:sz w:val="26"/>
                <w:szCs w:val="26"/>
              </w:rPr>
              <w:t>Лазерный принтер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tabs>
                <w:tab w:val="clear" w:pos="708"/>
                <w:tab w:val="left" w:pos="0" w:leader="none"/>
              </w:tabs>
              <w:spacing w:before="0" w:after="0"/>
              <w:rPr>
                <w:b w:val="false"/>
                <w:sz w:val="26"/>
                <w:szCs w:val="26"/>
              </w:rPr>
            </w:pPr>
            <w:r>
              <w:rPr>
                <w:b w:val="false"/>
                <w:sz w:val="26"/>
                <w:szCs w:val="26"/>
              </w:rPr>
              <w:t>Формат: А4.</w:t>
            </w:r>
          </w:p>
          <w:p>
            <w:pPr>
              <w:pStyle w:val="Style18"/>
              <w:tabs>
                <w:tab w:val="clear" w:pos="708"/>
                <w:tab w:val="left" w:pos="0" w:leader="none"/>
              </w:tabs>
              <w:spacing w:before="0" w:after="0"/>
              <w:rPr>
                <w:b w:val="false"/>
                <w:sz w:val="26"/>
                <w:szCs w:val="26"/>
              </w:rPr>
            </w:pPr>
            <w:r>
              <w:rPr>
                <w:b w:val="false"/>
                <w:sz w:val="26"/>
                <w:szCs w:val="26"/>
              </w:rPr>
              <w:t>Скорость черно-белой печати (обычный режим, A4): 30 стр./мин.</w:t>
            </w:r>
          </w:p>
          <w:p>
            <w:pPr>
              <w:pStyle w:val="Style18"/>
              <w:tabs>
                <w:tab w:val="clear" w:pos="708"/>
                <w:tab w:val="left" w:pos="0" w:leader="none"/>
              </w:tabs>
              <w:spacing w:before="0" w:after="0"/>
              <w:rPr>
                <w:b w:val="false"/>
                <w:sz w:val="26"/>
                <w:szCs w:val="26"/>
              </w:rPr>
            </w:pPr>
            <w:r>
              <w:rPr>
                <w:b w:val="false"/>
                <w:sz w:val="26"/>
                <w:szCs w:val="26"/>
              </w:rPr>
              <w:t>Качество черно-белой печати (режим наилучшего качества): не менее 600 x 600 точек на дюйм</w:t>
            </w:r>
          </w:p>
          <w:p>
            <w:pPr>
              <w:pStyle w:val="Style18"/>
              <w:tabs>
                <w:tab w:val="clear" w:pos="708"/>
                <w:tab w:val="left" w:pos="0" w:leader="none"/>
              </w:tabs>
              <w:spacing w:before="0" w:after="0"/>
              <w:rPr>
                <w:b w:val="false"/>
                <w:sz w:val="26"/>
                <w:szCs w:val="26"/>
              </w:rPr>
            </w:pPr>
            <w:r>
              <w:rPr>
                <w:b w:val="false"/>
                <w:sz w:val="26"/>
                <w:szCs w:val="26"/>
              </w:rPr>
              <w:t>Технология печати: лазерная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tabs>
                <w:tab w:val="clear" w:pos="708"/>
                <w:tab w:val="left" w:pos="0" w:leader="none"/>
              </w:tabs>
              <w:spacing w:before="0" w:after="0"/>
              <w:rPr>
                <w:b w:val="false"/>
                <w:sz w:val="26"/>
                <w:szCs w:val="26"/>
              </w:rPr>
            </w:pPr>
            <w:r>
              <w:rPr>
                <w:b w:val="false"/>
                <w:sz w:val="26"/>
                <w:szCs w:val="26"/>
              </w:rPr>
              <w:t>Сканер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Normal"/>
              <w:keepNext w:val="true"/>
              <w:tabs>
                <w:tab w:val="clear" w:pos="708"/>
                <w:tab w:val="left" w:pos="0" w:leader="none"/>
              </w:tabs>
              <w:spacing w:lineRule="auto" w:line="240" w:before="0" w:after="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Функция отсечения красного цвета</w:t>
            </w:r>
          </w:p>
          <w:p>
            <w:pPr>
              <w:pStyle w:val="Normal"/>
              <w:keepNext w:val="true"/>
              <w:tabs>
                <w:tab w:val="clear" w:pos="708"/>
                <w:tab w:val="left" w:pos="0" w:leader="none"/>
              </w:tabs>
              <w:spacing w:lineRule="auto" w:line="240" w:before="0" w:after="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TWAIN-совместимый сканер</w:t>
            </w:r>
          </w:p>
          <w:p>
            <w:pPr>
              <w:pStyle w:val="Normal"/>
              <w:keepNext w:val="true"/>
              <w:tabs>
                <w:tab w:val="clear" w:pos="708"/>
                <w:tab w:val="left" w:pos="0" w:leader="none"/>
              </w:tabs>
              <w:spacing w:lineRule="auto" w:line="240" w:before="0" w:after="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Область сканирования: А4</w:t>
            </w:r>
          </w:p>
          <w:p>
            <w:pPr>
              <w:pStyle w:val="Normal"/>
              <w:keepNext w:val="true"/>
              <w:tabs>
                <w:tab w:val="clear" w:pos="708"/>
                <w:tab w:val="left" w:pos="0" w:leader="none"/>
              </w:tabs>
              <w:spacing w:lineRule="auto" w:line="240" w:before="0" w:after="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Сканирование с разрешением 300 dpi</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tabs>
                <w:tab w:val="clear" w:pos="708"/>
                <w:tab w:val="left" w:pos="0" w:leader="none"/>
              </w:tabs>
              <w:spacing w:before="0" w:after="0"/>
              <w:rPr>
                <w:b w:val="false"/>
                <w:sz w:val="26"/>
                <w:szCs w:val="26"/>
              </w:rPr>
            </w:pPr>
            <w:r>
              <w:rPr>
                <w:b w:val="false"/>
                <w:sz w:val="26"/>
                <w:szCs w:val="26"/>
              </w:rPr>
              <w:t>Ксерокс</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tabs>
                <w:tab w:val="clear" w:pos="708"/>
                <w:tab w:val="left" w:pos="0" w:leader="none"/>
              </w:tabs>
              <w:spacing w:before="0" w:after="0"/>
              <w:rPr>
                <w:b w:val="false"/>
                <w:sz w:val="26"/>
                <w:szCs w:val="26"/>
              </w:rPr>
            </w:pPr>
            <w:r>
              <w:rPr>
                <w:b w:val="false"/>
                <w:sz w:val="26"/>
                <w:szCs w:val="26"/>
              </w:rPr>
              <w:t>Специальные требования не предъявляются</w:t>
            </w:r>
          </w:p>
        </w:tc>
      </w:tr>
    </w:tbl>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2.2) приведены требования к аппаратному обеспечению рабочей станции на региональном уровне.</w:t>
      </w:r>
    </w:p>
    <w:p>
      <w:pPr>
        <w:pStyle w:val="Caption"/>
        <w:tabs>
          <w:tab w:val="clear" w:pos="708"/>
          <w:tab w:val="left" w:pos="0" w:leader="none"/>
        </w:tabs>
        <w:spacing w:before="0" w:after="0"/>
        <w:jc w:val="right"/>
        <w:rPr>
          <w:rFonts w:ascii="Times New Roman" w:hAnsi="Times New Roman" w:cs="Times New Roman"/>
          <w:b w:val="false"/>
          <w:bCs w:val="false"/>
          <w:color w:val="auto"/>
          <w:sz w:val="26"/>
          <w:szCs w:val="26"/>
        </w:rPr>
      </w:pPr>
      <w:r>
        <w:rPr/>
      </w:r>
    </w:p>
    <w:p>
      <w:pPr>
        <w:pStyle w:val="Normal"/>
        <w:spacing w:lineRule="auto" w:line="240" w:before="0" w:after="0"/>
        <w:rPr/>
      </w:pPr>
      <w:r>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456"/>
        <w:gridCol w:w="5899"/>
      </w:tblGrid>
      <w:tr>
        <w:trPr>
          <w:tblHeader w:val="true"/>
          <w:cantSplit w:val="true"/>
        </w:trPr>
        <w:tc>
          <w:tcPr>
            <w:tcW w:w="3456" w:type="dxa"/>
            <w:tcBorders>
              <w:top w:val="single" w:sz="12"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rPr>
                <w:sz w:val="26"/>
                <w:szCs w:val="26"/>
              </w:rPr>
            </w:pPr>
            <w:r>
              <w:rPr>
                <w:sz w:val="26"/>
                <w:szCs w:val="26"/>
              </w:rPr>
              <w:t>Компонент</w:t>
            </w:r>
          </w:p>
        </w:tc>
        <w:tc>
          <w:tcPr>
            <w:tcW w:w="5899" w:type="dxa"/>
            <w:tcBorders>
              <w:top w:val="single" w:sz="12"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rPr>
                <w:sz w:val="26"/>
                <w:szCs w:val="26"/>
              </w:rPr>
            </w:pPr>
            <w:r>
              <w:rPr>
                <w:sz w:val="26"/>
                <w:szCs w:val="26"/>
              </w:rPr>
              <w:t>Конфигурация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Центральный процессор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х86/х64 совместимый</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Оперативная память</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 xml:space="preserve">От </w:t>
            </w:r>
            <w:r>
              <w:rPr>
                <w:b w:val="false"/>
                <w:sz w:val="26"/>
                <w:szCs w:val="26"/>
              </w:rPr>
              <w:t>4</w:t>
            </w:r>
            <w:r>
              <w:rPr>
                <w:b w:val="false"/>
                <w:sz w:val="26"/>
                <w:szCs w:val="26"/>
              </w:rPr>
              <w:t xml:space="preserve"> Gb</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Дисковая подсистема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w:t>
            </w:r>
            <w:r>
              <w:rPr>
                <w:b w:val="false"/>
                <w:sz w:val="26"/>
                <w:szCs w:val="26"/>
              </w:rPr>
              <w:t>вободн</w:t>
            </w:r>
            <w:r>
              <w:rPr>
                <w:b w:val="false"/>
                <w:sz w:val="26"/>
                <w:szCs w:val="26"/>
              </w:rPr>
              <w:t>ое</w:t>
            </w:r>
            <w:r>
              <w:rPr>
                <w:b w:val="false"/>
                <w:sz w:val="26"/>
                <w:szCs w:val="26"/>
              </w:rPr>
              <w:t xml:space="preserve"> мест</w:t>
            </w:r>
            <w:r>
              <w:rPr>
                <w:b w:val="false"/>
                <w:sz w:val="26"/>
                <w:szCs w:val="26"/>
              </w:rPr>
              <w:t>о</w:t>
            </w:r>
            <w:r>
              <w:rPr>
                <w:b w:val="false"/>
                <w:sz w:val="26"/>
                <w:szCs w:val="26"/>
              </w:rPr>
              <w:t xml:space="preserve"> не менее 10</w:t>
            </w:r>
            <w:r>
              <w:rPr>
                <w:b w:val="false"/>
                <w:sz w:val="26"/>
                <w:szCs w:val="26"/>
              </w:rPr>
              <w:t>0</w:t>
            </w:r>
            <w:r>
              <w:rPr>
                <w:b w:val="false"/>
                <w:sz w:val="26"/>
                <w:szCs w:val="26"/>
              </w:rPr>
              <w:t xml:space="preserve"> </w:t>
            </w:r>
            <w:r>
              <w:rPr>
                <w:b w:val="false"/>
                <w:sz w:val="26"/>
                <w:szCs w:val="26"/>
                <w:lang w:val="en-US"/>
              </w:rPr>
              <w:t>G</w:t>
            </w:r>
            <w:r>
              <w:rPr>
                <w:b w:val="false"/>
                <w:sz w:val="26"/>
                <w:szCs w:val="26"/>
              </w:rPr>
              <w:t>b</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Внешние интерфейсы и накопители</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Внешний интерфейс</w:t>
            </w:r>
            <w:r>
              <w:rPr>
                <w:b w:val="false"/>
                <w:sz w:val="26"/>
                <w:szCs w:val="26"/>
                <w:lang w:val="en-US"/>
              </w:rPr>
              <w:t xml:space="preserve">: </w:t>
            </w:r>
            <w:r>
              <w:rPr>
                <w:b w:val="false"/>
                <w:sz w:val="26"/>
                <w:szCs w:val="26"/>
              </w:rPr>
              <w:t>USB 2.0/</w:t>
            </w:r>
            <w:r>
              <w:rPr>
                <w:b w:val="false"/>
                <w:sz w:val="26"/>
                <w:szCs w:val="26"/>
              </w:rPr>
              <w:t>3.0</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Видеоадаптер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Встроен в чипсет материнской платы, производительность не менее рекомендуемой для установленной ОС.</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Клавиатура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Присутствует</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Мышь</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Присутствует</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Монитор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 xml:space="preserve">SVGA разрешение не менее 1024 </w:t>
            </w:r>
            <w:r>
              <w:rPr>
                <w:b w:val="false"/>
                <w:sz w:val="26"/>
                <w:szCs w:val="26"/>
                <w:lang w:val="en-US"/>
              </w:rPr>
              <w:t>px</w:t>
            </w:r>
            <w:r>
              <w:rPr>
                <w:b w:val="false"/>
                <w:sz w:val="26"/>
                <w:szCs w:val="26"/>
              </w:rPr>
              <w:t xml:space="preserve"> по горизонтали</w:t>
            </w:r>
          </w:p>
          <w:p>
            <w:pPr>
              <w:pStyle w:val="Style18"/>
              <w:keepNext w:val="false"/>
              <w:spacing w:before="0" w:after="0"/>
              <w:jc w:val="both"/>
              <w:rPr>
                <w:b w:val="false"/>
                <w:sz w:val="26"/>
                <w:szCs w:val="26"/>
              </w:rPr>
            </w:pPr>
            <w:r>
              <w:rPr>
                <w:b w:val="false"/>
                <w:sz w:val="26"/>
                <w:szCs w:val="26"/>
              </w:rPr>
              <w:t>Рекомендуемое разрешение: 1280x1024</w:t>
            </w:r>
          </w:p>
        </w:tc>
      </w:tr>
      <w:tr>
        <w:trPr>
          <w:cantSplit w:val="true"/>
        </w:trPr>
        <w:tc>
          <w:tcPr>
            <w:tcW w:w="3456" w:type="dxa"/>
            <w:tcBorders>
              <w:top w:val="single" w:sz="4" w:space="0" w:color="000000"/>
              <w:left w:val="single" w:sz="8" w:space="0" w:color="000000"/>
              <w:bottom w:val="single" w:sz="12" w:space="0" w:color="000000"/>
              <w:right w:val="single" w:sz="4" w:space="0" w:color="000000"/>
            </w:tcBorders>
            <w:shd w:color="auto" w:fill="auto" w:val="clear"/>
          </w:tcPr>
          <w:p>
            <w:pPr>
              <w:pStyle w:val="Style18"/>
              <w:keepNext w:val="false"/>
              <w:spacing w:before="0" w:after="0"/>
              <w:jc w:val="both"/>
              <w:rPr>
                <w:b w:val="false"/>
                <w:sz w:val="26"/>
                <w:szCs w:val="26"/>
                <w:lang w:val="en-US"/>
              </w:rPr>
            </w:pPr>
            <w:r>
              <w:rPr>
                <w:b w:val="false"/>
                <w:sz w:val="26"/>
                <w:szCs w:val="26"/>
              </w:rPr>
              <w:t>Сетевая плата</w:t>
            </w:r>
          </w:p>
        </w:tc>
        <w:tc>
          <w:tcPr>
            <w:tcW w:w="5899" w:type="dxa"/>
            <w:tcBorders>
              <w:top w:val="single" w:sz="4" w:space="0" w:color="000000"/>
              <w:left w:val="single" w:sz="4" w:space="0" w:color="000000"/>
              <w:bottom w:val="single" w:sz="12"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Ethernet 10/100 Мбит</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2.3) приведены требования к конфигурации программного обеспечения рабочей станции на региональном уровне.</w:t>
      </w:r>
    </w:p>
    <w:p>
      <w:pPr>
        <w:pStyle w:val="Caption"/>
        <w:spacing w:before="0" w:after="0"/>
        <w:jc w:val="right"/>
        <w:rPr>
          <w:rFonts w:ascii="Times New Roman" w:hAnsi="Times New Roman" w:cs="Times New Roman"/>
          <w:b w:val="false"/>
          <w:bCs w:val="false"/>
          <w:color w:val="auto"/>
          <w:sz w:val="26"/>
          <w:szCs w:val="26"/>
        </w:rPr>
      </w:pPr>
      <w:r>
        <w:rPr/>
      </w:r>
    </w:p>
    <w:p>
      <w:pPr>
        <w:pStyle w:val="Normal"/>
        <w:spacing w:lineRule="auto" w:line="240" w:before="0" w:after="0"/>
        <w:rPr/>
      </w:pPr>
      <w:r>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2836"/>
        <w:gridCol w:w="6519"/>
      </w:tblGrid>
      <w:tr>
        <w:trPr>
          <w:tblHeader w:val="true"/>
          <w:cantSplit w:val="true"/>
        </w:trPr>
        <w:tc>
          <w:tcPr>
            <w:tcW w:w="2836" w:type="dxa"/>
            <w:tcBorders>
              <w:top w:val="single" w:sz="12" w:space="0" w:color="000000"/>
              <w:left w:val="single" w:sz="8" w:space="0" w:color="000000"/>
              <w:bottom w:val="single" w:sz="4" w:space="0" w:color="000000"/>
              <w:right w:val="single" w:sz="4" w:space="0" w:color="000000"/>
            </w:tcBorders>
            <w:shd w:color="auto" w:fill="auto" w:val="clear"/>
          </w:tcPr>
          <w:p>
            <w:pPr>
              <w:pStyle w:val="Style18"/>
              <w:tabs>
                <w:tab w:val="clear" w:pos="708"/>
                <w:tab w:val="right" w:pos="2727" w:leader="none"/>
              </w:tabs>
              <w:spacing w:before="0" w:after="0"/>
              <w:jc w:val="both"/>
              <w:rPr>
                <w:sz w:val="26"/>
                <w:szCs w:val="26"/>
              </w:rPr>
            </w:pPr>
            <w:r>
              <w:rPr>
                <w:sz w:val="26"/>
                <w:szCs w:val="26"/>
              </w:rPr>
              <w:t>Компонент</w:t>
            </w:r>
          </w:p>
        </w:tc>
        <w:tc>
          <w:tcPr>
            <w:tcW w:w="6519" w:type="dxa"/>
            <w:tcBorders>
              <w:top w:val="single" w:sz="12"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sz w:val="26"/>
                <w:szCs w:val="26"/>
              </w:rPr>
            </w:pPr>
            <w:r>
              <w:rPr>
                <w:sz w:val="26"/>
                <w:szCs w:val="26"/>
              </w:rPr>
              <w:t>Конфигурация</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Серверная операционная система</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Серверная ОС семейства Windows не ниже Server 20</w:t>
            </w:r>
            <w:r>
              <w:rPr>
                <w:b w:val="false"/>
                <w:sz w:val="26"/>
                <w:szCs w:val="26"/>
              </w:rPr>
              <w:t>12</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СУБД</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СУБД «</w:t>
            </w:r>
            <w:r>
              <w:rPr>
                <w:b w:val="false"/>
                <w:sz w:val="26"/>
                <w:szCs w:val="26"/>
                <w:lang w:val="en-US"/>
              </w:rPr>
              <w:t>SQL</w:t>
            </w:r>
            <w:r>
              <w:rPr>
                <w:b w:val="false"/>
                <w:sz w:val="26"/>
                <w:szCs w:val="26"/>
              </w:rPr>
              <w:t xml:space="preserve"> </w:t>
            </w:r>
            <w:r>
              <w:rPr>
                <w:b w:val="false"/>
                <w:sz w:val="26"/>
                <w:szCs w:val="26"/>
                <w:lang w:val="en-US"/>
              </w:rPr>
              <w:t>Server</w:t>
            </w:r>
            <w:r>
              <w:rPr>
                <w:b w:val="false"/>
                <w:sz w:val="26"/>
                <w:szCs w:val="26"/>
              </w:rPr>
              <w:t xml:space="preserve"> 2008 </w:t>
            </w:r>
            <w:r>
              <w:rPr>
                <w:b w:val="false"/>
                <w:sz w:val="26"/>
                <w:szCs w:val="26"/>
                <w:lang w:val="en-US"/>
              </w:rPr>
              <w:t>R</w:t>
            </w:r>
            <w:r>
              <w:rPr>
                <w:b w:val="false"/>
                <w:sz w:val="26"/>
                <w:szCs w:val="26"/>
              </w:rPr>
              <w:t>2» с пакетом обновлений 3 (</w:t>
            </w:r>
            <w:r>
              <w:rPr>
                <w:b w:val="false"/>
                <w:sz w:val="26"/>
                <w:szCs w:val="26"/>
                <w:lang w:val="en-US"/>
              </w:rPr>
              <w:t>SP</w:t>
            </w:r>
            <w:r>
              <w:rPr>
                <w:b w:val="false"/>
                <w:sz w:val="26"/>
                <w:szCs w:val="26"/>
              </w:rPr>
              <w:t>3) -  «</w:t>
            </w:r>
            <w:r>
              <w:rPr>
                <w:b w:val="false"/>
                <w:sz w:val="26"/>
                <w:szCs w:val="26"/>
                <w:lang w:val="en-US"/>
              </w:rPr>
              <w:t>SQL</w:t>
            </w:r>
            <w:r>
              <w:rPr>
                <w:b w:val="false"/>
                <w:sz w:val="26"/>
                <w:szCs w:val="26"/>
              </w:rPr>
              <w:t xml:space="preserve"> </w:t>
            </w:r>
            <w:r>
              <w:rPr>
                <w:b w:val="false"/>
                <w:sz w:val="26"/>
                <w:szCs w:val="26"/>
                <w:lang w:val="en-US"/>
              </w:rPr>
              <w:t>Server</w:t>
            </w:r>
            <w:r>
              <w:rPr>
                <w:b w:val="false"/>
                <w:sz w:val="26"/>
                <w:szCs w:val="26"/>
              </w:rPr>
              <w:t xml:space="preserve"> 2014»</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Операционная система</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 xml:space="preserve">Windows </w:t>
            </w:r>
            <w:r>
              <w:rPr>
                <w:b w:val="false"/>
                <w:sz w:val="26"/>
                <w:szCs w:val="26"/>
              </w:rPr>
              <w:t>7</w:t>
            </w:r>
            <w:r>
              <w:rPr>
                <w:b w:val="false"/>
                <w:sz w:val="26"/>
                <w:szCs w:val="26"/>
                <w:lang w:val="en-US"/>
              </w:rPr>
              <w:t xml:space="preserve"> </w:t>
            </w:r>
            <w:r>
              <w:rPr>
                <w:b w:val="false"/>
                <w:sz w:val="26"/>
                <w:szCs w:val="26"/>
              </w:rPr>
              <w:t>и</w:t>
            </w:r>
            <w:r>
              <w:rPr>
                <w:b w:val="false"/>
                <w:sz w:val="26"/>
                <w:szCs w:val="26"/>
                <w:lang w:val="en-US"/>
              </w:rPr>
              <w:t xml:space="preserve"> </w:t>
            </w:r>
            <w:r>
              <w:rPr>
                <w:b w:val="false"/>
                <w:sz w:val="26"/>
                <w:szCs w:val="26"/>
              </w:rPr>
              <w:t>выше</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Дополнительное ПО</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 xml:space="preserve">Microsoft .NET Framework 3.5 </w:t>
            </w:r>
            <w:r>
              <w:rPr>
                <w:b w:val="false"/>
                <w:sz w:val="26"/>
                <w:szCs w:val="26"/>
              </w:rPr>
              <w:t>и</w:t>
            </w:r>
            <w:r>
              <w:rPr>
                <w:b w:val="false"/>
                <w:sz w:val="26"/>
                <w:szCs w:val="26"/>
                <w:lang w:val="en-US"/>
              </w:rPr>
              <w:t xml:space="preserve"> </w:t>
            </w:r>
            <w:r>
              <w:rPr>
                <w:b w:val="false"/>
                <w:sz w:val="26"/>
                <w:szCs w:val="26"/>
              </w:rPr>
              <w:t>выше</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Интернет браузер</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Яндекс. Браузер актуальной версии</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ПО для сканирования</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Специализированное ПО, обеспечивающее сканирование бланков итоговых сочинений</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ПО для распознавания</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Специализированное ПО, обеспечивающее распознавание изображений бланков итоговых сочинений</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ПО для верификации</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Специализированное ПО для проверки и коррекции результатов распознавания изображений бланков итоговых сочинений</w:t>
            </w:r>
          </w:p>
        </w:tc>
      </w:tr>
    </w:tbl>
    <w:p>
      <w:pPr>
        <w:pStyle w:val="Heading2"/>
        <w:numPr>
          <w:ilvl w:val="0"/>
          <w:numId w:val="0"/>
        </w:numPr>
        <w:tabs>
          <w:tab w:val="clear" w:pos="568"/>
          <w:tab w:val="clear" w:pos="1134"/>
          <w:tab w:val="clear" w:pos="1418"/>
          <w:tab w:val="left" w:pos="0" w:leader="none"/>
          <w:tab w:val="left" w:pos="284" w:leader="none"/>
          <w:tab w:val="left" w:pos="1701" w:leader="none"/>
          <w:tab w:val="left" w:pos="1985" w:leader="none"/>
        </w:tabs>
        <w:spacing w:before="0" w:after="0"/>
        <w:ind w:hanging="0" w:left="0"/>
        <w:rPr>
          <w:sz w:val="26"/>
          <w:szCs w:val="26"/>
        </w:rPr>
      </w:pPr>
      <w:r>
        <w:rPr>
          <w:sz w:val="26"/>
          <w:szCs w:val="26"/>
        </w:rPr>
      </w:r>
    </w:p>
    <w:p>
      <w:pPr>
        <w:pStyle w:val="Heading2"/>
        <w:numPr>
          <w:ilvl w:val="1"/>
          <w:numId w:val="2"/>
        </w:numPr>
        <w:tabs>
          <w:tab w:val="clear" w:pos="568"/>
          <w:tab w:val="clear" w:pos="1134"/>
          <w:tab w:val="clear" w:pos="1418"/>
          <w:tab w:val="left" w:pos="0" w:leader="none"/>
          <w:tab w:val="left" w:pos="284" w:leader="none"/>
          <w:tab w:val="left" w:pos="1701" w:leader="none"/>
          <w:tab w:val="left" w:pos="1985" w:leader="none"/>
        </w:tabs>
        <w:spacing w:before="0" w:after="0"/>
        <w:ind w:firstLine="709" w:left="0"/>
        <w:rPr>
          <w:sz w:val="26"/>
          <w:szCs w:val="26"/>
        </w:rPr>
      </w:pPr>
      <w:r>
        <w:rPr>
          <w:sz w:val="26"/>
          <w:szCs w:val="26"/>
        </w:rPr>
        <w:t>Муниципальный уровень</w:t>
      </w:r>
    </w:p>
    <w:p>
      <w:pPr>
        <w:pStyle w:val="Normal"/>
        <w:tabs>
          <w:tab w:val="clear" w:pos="708"/>
          <w:tab w:val="left" w:pos="0" w:leader="none"/>
        </w:tabs>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2.4) приведены требования к оборудованию, которое должно входить в состав рабочей станции на муниципальном уровне.</w:t>
      </w:r>
    </w:p>
    <w:p>
      <w:pPr>
        <w:pStyle w:val="Normal"/>
        <w:spacing w:lineRule="auto" w:line="240" w:before="0" w:after="0"/>
        <w:jc w:val="right"/>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456"/>
        <w:gridCol w:w="5899"/>
      </w:tblGrid>
      <w:tr>
        <w:trPr>
          <w:tblHeader w:val="true"/>
          <w:cantSplit w:val="true"/>
        </w:trPr>
        <w:tc>
          <w:tcPr>
            <w:tcW w:w="3456" w:type="dxa"/>
            <w:tcBorders>
              <w:top w:val="single" w:sz="12"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sz w:val="26"/>
                <w:szCs w:val="26"/>
              </w:rPr>
            </w:pPr>
            <w:r>
              <w:rPr>
                <w:sz w:val="26"/>
                <w:szCs w:val="26"/>
              </w:rPr>
              <w:t>Компонент</w:t>
            </w:r>
          </w:p>
        </w:tc>
        <w:tc>
          <w:tcPr>
            <w:tcW w:w="5899" w:type="dxa"/>
            <w:tcBorders>
              <w:top w:val="single" w:sz="12"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sz w:val="26"/>
                <w:szCs w:val="26"/>
              </w:rPr>
            </w:pPr>
            <w:r>
              <w:rPr>
                <w:sz w:val="26"/>
                <w:szCs w:val="26"/>
              </w:rPr>
              <w:t>Конфигурация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Рабочая станция на муниципальном уровне</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Наличие стабильного канала связи с выходом в «Интернет».</w:t>
            </w:r>
          </w:p>
          <w:p>
            <w:pPr>
              <w:pStyle w:val="Style18"/>
              <w:keepNext w:val="false"/>
              <w:spacing w:before="0" w:after="0"/>
              <w:jc w:val="both"/>
              <w:rPr>
                <w:b w:val="false"/>
                <w:sz w:val="26"/>
                <w:szCs w:val="26"/>
              </w:rPr>
            </w:pPr>
            <w:r>
              <w:rPr>
                <w:b w:val="false"/>
                <w:sz w:val="26"/>
                <w:szCs w:val="26"/>
              </w:rPr>
              <w:t xml:space="preserve">Наличие </w:t>
            </w:r>
            <w:r>
              <w:rPr>
                <w:b w:val="false"/>
                <w:sz w:val="26"/>
                <w:szCs w:val="26"/>
              </w:rPr>
              <w:t>внешн</w:t>
            </w:r>
            <w:r>
              <w:rPr>
                <w:b w:val="false"/>
                <w:sz w:val="26"/>
                <w:szCs w:val="26"/>
              </w:rPr>
              <w:t>его</w:t>
            </w:r>
            <w:r>
              <w:rPr>
                <w:b w:val="false"/>
                <w:sz w:val="26"/>
                <w:szCs w:val="26"/>
              </w:rPr>
              <w:t xml:space="preserve"> интерфейс</w:t>
            </w:r>
            <w:r>
              <w:rPr>
                <w:b w:val="false"/>
                <w:sz w:val="26"/>
                <w:szCs w:val="26"/>
              </w:rPr>
              <w:t>а</w:t>
            </w:r>
            <w:r>
              <w:rPr>
                <w:b w:val="false"/>
                <w:sz w:val="26"/>
                <w:szCs w:val="26"/>
              </w:rPr>
              <w:t>: USB 2.0/</w:t>
            </w:r>
            <w:r>
              <w:rPr>
                <w:b w:val="false"/>
                <w:sz w:val="26"/>
                <w:szCs w:val="26"/>
              </w:rPr>
              <w:t>3.0</w:t>
            </w:r>
            <w:r>
              <w:rPr>
                <w:b w:val="false"/>
                <w:sz w:val="26"/>
                <w:szCs w:val="26"/>
              </w:rPr>
              <w:t>.</w:t>
            </w:r>
          </w:p>
          <w:p>
            <w:pPr>
              <w:pStyle w:val="Style18"/>
              <w:keepNext w:val="false"/>
              <w:spacing w:before="0" w:after="0"/>
              <w:jc w:val="both"/>
              <w:rPr>
                <w:b w:val="false"/>
                <w:sz w:val="26"/>
                <w:szCs w:val="26"/>
              </w:rPr>
            </w:pPr>
            <w:r>
              <w:rPr>
                <w:b w:val="false"/>
                <w:sz w:val="26"/>
                <w:szCs w:val="26"/>
              </w:rPr>
              <w:t>Дополнительных специальных требований к рабочей станции не предъявляется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Лазерный принтер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b w:val="false"/>
                <w:sz w:val="26"/>
                <w:szCs w:val="26"/>
              </w:rPr>
            </w:pPr>
            <w:r>
              <w:rPr>
                <w:b w:val="false"/>
                <w:sz w:val="26"/>
                <w:szCs w:val="26"/>
              </w:rPr>
              <w:t>Формат: А4.</w:t>
            </w:r>
          </w:p>
          <w:p>
            <w:pPr>
              <w:pStyle w:val="Style18"/>
              <w:spacing w:before="0" w:after="0"/>
              <w:jc w:val="both"/>
              <w:rPr>
                <w:b w:val="false"/>
                <w:sz w:val="26"/>
                <w:szCs w:val="26"/>
              </w:rPr>
            </w:pPr>
            <w:r>
              <w:rPr>
                <w:b w:val="false"/>
                <w:sz w:val="26"/>
                <w:szCs w:val="26"/>
              </w:rPr>
              <w:t>Скорость черно-белой печати (обычный режим, A4): 30 стр./мин.</w:t>
            </w:r>
          </w:p>
          <w:p>
            <w:pPr>
              <w:pStyle w:val="Style18"/>
              <w:spacing w:before="0" w:after="0"/>
              <w:jc w:val="both"/>
              <w:rPr>
                <w:b w:val="false"/>
                <w:sz w:val="26"/>
                <w:szCs w:val="26"/>
              </w:rPr>
            </w:pPr>
            <w:r>
              <w:rPr>
                <w:b w:val="false"/>
                <w:sz w:val="26"/>
                <w:szCs w:val="26"/>
              </w:rPr>
              <w:t>Качество черно-белой печати (режим наилучшего качества): не менее 600 x 600 точек на дюйм</w:t>
            </w:r>
          </w:p>
          <w:p>
            <w:pPr>
              <w:pStyle w:val="Style18"/>
              <w:spacing w:before="0" w:after="0"/>
              <w:jc w:val="both"/>
              <w:rPr>
                <w:b w:val="false"/>
                <w:sz w:val="26"/>
                <w:szCs w:val="26"/>
              </w:rPr>
            </w:pPr>
            <w:r>
              <w:rPr>
                <w:b w:val="false"/>
                <w:sz w:val="26"/>
                <w:szCs w:val="26"/>
              </w:rPr>
              <w:t>Технология печати: лазерная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Сканер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Normal"/>
              <w:keepNext w:val="true"/>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Функция отсечения красного цвета</w:t>
            </w:r>
          </w:p>
          <w:p>
            <w:pPr>
              <w:pStyle w:val="Normal"/>
              <w:keepNext w:val="true"/>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TWAIN-совместимый сканер</w:t>
            </w:r>
          </w:p>
          <w:p>
            <w:pPr>
              <w:pStyle w:val="Normal"/>
              <w:keepNext w:val="true"/>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Область сканирования: А4</w:t>
            </w:r>
          </w:p>
          <w:p>
            <w:pPr>
              <w:pStyle w:val="Style18"/>
              <w:spacing w:before="0" w:after="0"/>
              <w:jc w:val="both"/>
              <w:rPr>
                <w:b w:val="false"/>
                <w:sz w:val="26"/>
                <w:szCs w:val="26"/>
              </w:rPr>
            </w:pPr>
            <w:r>
              <w:rPr>
                <w:b w:val="false"/>
                <w:bCs w:val="false"/>
                <w:sz w:val="26"/>
                <w:szCs w:val="26"/>
              </w:rPr>
              <w:t>Сканирование с разрешением 300 dpi</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Ксерокс</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b w:val="false"/>
                <w:sz w:val="26"/>
                <w:szCs w:val="26"/>
              </w:rPr>
            </w:pPr>
            <w:r>
              <w:rPr>
                <w:b w:val="false"/>
                <w:sz w:val="26"/>
                <w:szCs w:val="26"/>
              </w:rPr>
              <w:t>Специальные требования не предъявляются</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2.5) приведены требования к аппаратному обеспечению на муниципальном уровне.</w:t>
      </w:r>
    </w:p>
    <w:p>
      <w:pPr>
        <w:pStyle w:val="Normal"/>
        <w:spacing w:lineRule="auto" w:line="240" w:before="0" w:after="0"/>
        <w:jc w:val="right"/>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456"/>
        <w:gridCol w:w="5899"/>
      </w:tblGrid>
      <w:tr>
        <w:trPr>
          <w:tblHeader w:val="true"/>
          <w:cantSplit w:val="true"/>
        </w:trPr>
        <w:tc>
          <w:tcPr>
            <w:tcW w:w="3456" w:type="dxa"/>
            <w:tcBorders>
              <w:top w:val="single" w:sz="12"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sz w:val="26"/>
                <w:szCs w:val="26"/>
              </w:rPr>
            </w:pPr>
            <w:r>
              <w:rPr>
                <w:sz w:val="26"/>
                <w:szCs w:val="26"/>
              </w:rPr>
              <w:t>Компонент</w:t>
            </w:r>
          </w:p>
        </w:tc>
        <w:tc>
          <w:tcPr>
            <w:tcW w:w="5899" w:type="dxa"/>
            <w:tcBorders>
              <w:top w:val="single" w:sz="12"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sz w:val="26"/>
                <w:szCs w:val="26"/>
              </w:rPr>
            </w:pPr>
            <w:r>
              <w:rPr>
                <w:sz w:val="26"/>
                <w:szCs w:val="26"/>
              </w:rPr>
              <w:t>Конфигурация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Центральный процессор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х86/х64 совместимый</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Оперативная память</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 xml:space="preserve">От </w:t>
            </w:r>
            <w:r>
              <w:rPr>
                <w:b w:val="false"/>
                <w:sz w:val="26"/>
                <w:szCs w:val="26"/>
              </w:rPr>
              <w:t>4</w:t>
            </w:r>
            <w:r>
              <w:rPr>
                <w:b w:val="false"/>
                <w:sz w:val="26"/>
                <w:szCs w:val="26"/>
              </w:rPr>
              <w:t xml:space="preserve"> Gb</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Дисковая подсистема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Свободное место не менее 1</w:t>
            </w:r>
            <w:r>
              <w:rPr>
                <w:b w:val="false"/>
                <w:sz w:val="26"/>
                <w:szCs w:val="26"/>
              </w:rPr>
              <w:t>00</w:t>
            </w:r>
            <w:r>
              <w:rPr>
                <w:b w:val="false"/>
                <w:sz w:val="26"/>
                <w:szCs w:val="26"/>
              </w:rPr>
              <w:t xml:space="preserve"> </w:t>
            </w:r>
            <w:r>
              <w:rPr>
                <w:b w:val="false"/>
                <w:sz w:val="26"/>
                <w:szCs w:val="26"/>
                <w:lang w:val="en-US"/>
              </w:rPr>
              <w:t>G</w:t>
            </w:r>
            <w:r>
              <w:rPr>
                <w:b w:val="false"/>
                <w:sz w:val="26"/>
                <w:szCs w:val="26"/>
              </w:rPr>
              <w:t>b</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Внешние интерфейсы и накопители</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Внешний интерфейс</w:t>
            </w:r>
            <w:r>
              <w:rPr>
                <w:b w:val="false"/>
                <w:sz w:val="26"/>
                <w:szCs w:val="26"/>
                <w:lang w:val="en-US"/>
              </w:rPr>
              <w:t xml:space="preserve">: </w:t>
            </w:r>
            <w:r>
              <w:rPr>
                <w:b w:val="false"/>
                <w:sz w:val="26"/>
                <w:szCs w:val="26"/>
              </w:rPr>
              <w:t>USB 2.0/</w:t>
            </w:r>
            <w:r>
              <w:rPr>
                <w:b w:val="false"/>
                <w:sz w:val="26"/>
                <w:szCs w:val="26"/>
              </w:rPr>
              <w:t>3.0</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Видеоадаптер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Встроен в чипсет материнской платы производительность не менее рекомендуемой для установленной ОС.</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Клавиатура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Присутствует</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Мышь</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Присутствует</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Монитор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SVGA разрешение не менее 1024</w:t>
            </w:r>
            <w:r>
              <w:rPr>
                <w:b w:val="false"/>
                <w:sz w:val="26"/>
                <w:szCs w:val="26"/>
                <w:lang w:val="en-US"/>
              </w:rPr>
              <w:t>px</w:t>
            </w:r>
            <w:r>
              <w:rPr>
                <w:b w:val="false"/>
                <w:sz w:val="26"/>
                <w:szCs w:val="26"/>
              </w:rPr>
              <w:t xml:space="preserve"> по горизонтали.</w:t>
            </w:r>
          </w:p>
          <w:p>
            <w:pPr>
              <w:pStyle w:val="Style18"/>
              <w:keepNext w:val="false"/>
              <w:spacing w:before="0" w:after="0"/>
              <w:jc w:val="both"/>
              <w:rPr>
                <w:b w:val="false"/>
                <w:sz w:val="26"/>
                <w:szCs w:val="26"/>
              </w:rPr>
            </w:pPr>
            <w:r>
              <w:rPr>
                <w:b w:val="false"/>
                <w:sz w:val="26"/>
                <w:szCs w:val="26"/>
              </w:rPr>
              <w:t>Рекомендуемое разрешение: 1280x1024</w:t>
            </w:r>
          </w:p>
        </w:tc>
      </w:tr>
      <w:tr>
        <w:trPr>
          <w:cantSplit w:val="true"/>
        </w:trPr>
        <w:tc>
          <w:tcPr>
            <w:tcW w:w="3456" w:type="dxa"/>
            <w:tcBorders>
              <w:top w:val="single" w:sz="4" w:space="0" w:color="000000"/>
              <w:left w:val="single" w:sz="8" w:space="0" w:color="000000"/>
              <w:bottom w:val="single" w:sz="12" w:space="0" w:color="000000"/>
              <w:right w:val="single" w:sz="4" w:space="0" w:color="000000"/>
            </w:tcBorders>
            <w:shd w:color="auto" w:fill="auto" w:val="clear"/>
          </w:tcPr>
          <w:p>
            <w:pPr>
              <w:pStyle w:val="Style18"/>
              <w:keepNext w:val="false"/>
              <w:spacing w:before="0" w:after="0"/>
              <w:jc w:val="both"/>
              <w:rPr>
                <w:b w:val="false"/>
                <w:sz w:val="26"/>
                <w:szCs w:val="26"/>
                <w:lang w:val="en-US"/>
              </w:rPr>
            </w:pPr>
            <w:r>
              <w:rPr>
                <w:b w:val="false"/>
                <w:sz w:val="26"/>
                <w:szCs w:val="26"/>
              </w:rPr>
              <w:t>Сетевая плата</w:t>
            </w:r>
          </w:p>
        </w:tc>
        <w:tc>
          <w:tcPr>
            <w:tcW w:w="5899" w:type="dxa"/>
            <w:tcBorders>
              <w:top w:val="single" w:sz="4" w:space="0" w:color="000000"/>
              <w:left w:val="single" w:sz="4" w:space="0" w:color="000000"/>
              <w:bottom w:val="single" w:sz="12"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Ethernet 10/100 Мбит</w:t>
            </w:r>
          </w:p>
        </w:tc>
      </w:tr>
    </w:tbl>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2.6) приведены требования к конфигурации программного обеспечения рабочей станции на муниципальном уровне.</w:t>
      </w:r>
    </w:p>
    <w:p>
      <w:pPr>
        <w:pStyle w:val="Normal"/>
        <w:spacing w:lineRule="auto" w:line="240" w:before="0" w:after="0"/>
        <w:jc w:val="right"/>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2836"/>
        <w:gridCol w:w="6519"/>
      </w:tblGrid>
      <w:tr>
        <w:trPr>
          <w:tblHeader w:val="true"/>
          <w:cantSplit w:val="true"/>
        </w:trPr>
        <w:tc>
          <w:tcPr>
            <w:tcW w:w="2836" w:type="dxa"/>
            <w:tcBorders>
              <w:top w:val="single" w:sz="12" w:space="0" w:color="000000"/>
              <w:left w:val="single" w:sz="8" w:space="0" w:color="000000"/>
              <w:bottom w:val="single" w:sz="4" w:space="0" w:color="000000"/>
              <w:right w:val="single" w:sz="4" w:space="0" w:color="000000"/>
            </w:tcBorders>
            <w:shd w:color="auto" w:fill="auto" w:val="clear"/>
          </w:tcPr>
          <w:p>
            <w:pPr>
              <w:pStyle w:val="Style18"/>
              <w:tabs>
                <w:tab w:val="clear" w:pos="708"/>
                <w:tab w:val="right" w:pos="2727" w:leader="none"/>
              </w:tabs>
              <w:spacing w:before="0" w:after="0"/>
              <w:jc w:val="both"/>
              <w:rPr>
                <w:sz w:val="26"/>
                <w:szCs w:val="26"/>
              </w:rPr>
            </w:pPr>
            <w:r>
              <w:rPr>
                <w:sz w:val="26"/>
                <w:szCs w:val="26"/>
              </w:rPr>
              <w:t>Компонент</w:t>
            </w:r>
          </w:p>
        </w:tc>
        <w:tc>
          <w:tcPr>
            <w:tcW w:w="6519" w:type="dxa"/>
            <w:tcBorders>
              <w:top w:val="single" w:sz="12"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sz w:val="26"/>
                <w:szCs w:val="26"/>
              </w:rPr>
            </w:pPr>
            <w:r>
              <w:rPr>
                <w:sz w:val="26"/>
                <w:szCs w:val="26"/>
              </w:rPr>
              <w:t>Конфигурация</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Операционная система</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 xml:space="preserve">Windows </w:t>
            </w:r>
            <w:r>
              <w:rPr>
                <w:b w:val="false"/>
                <w:sz w:val="26"/>
                <w:szCs w:val="26"/>
              </w:rPr>
              <w:t>7</w:t>
            </w:r>
            <w:r>
              <w:rPr>
                <w:b w:val="false"/>
                <w:sz w:val="26"/>
                <w:szCs w:val="26"/>
                <w:lang w:val="en-US"/>
              </w:rPr>
              <w:t xml:space="preserve"> </w:t>
            </w:r>
            <w:r>
              <w:rPr>
                <w:b w:val="false"/>
                <w:sz w:val="26"/>
                <w:szCs w:val="26"/>
              </w:rPr>
              <w:t>и</w:t>
            </w:r>
            <w:r>
              <w:rPr>
                <w:b w:val="false"/>
                <w:sz w:val="26"/>
                <w:szCs w:val="26"/>
                <w:lang w:val="en-US"/>
              </w:rPr>
              <w:t xml:space="preserve"> </w:t>
            </w:r>
            <w:r>
              <w:rPr>
                <w:b w:val="false"/>
                <w:sz w:val="26"/>
                <w:szCs w:val="26"/>
              </w:rPr>
              <w:t>выше</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Дополнительное ПО</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 xml:space="preserve">Microsoft .NET Framework 3.5 </w:t>
            </w:r>
            <w:r>
              <w:rPr>
                <w:b w:val="false"/>
                <w:sz w:val="26"/>
                <w:szCs w:val="26"/>
              </w:rPr>
              <w:t>и</w:t>
            </w:r>
            <w:r>
              <w:rPr>
                <w:b w:val="false"/>
                <w:sz w:val="26"/>
                <w:szCs w:val="26"/>
                <w:lang w:val="en-US"/>
              </w:rPr>
              <w:t xml:space="preserve"> </w:t>
            </w:r>
            <w:r>
              <w:rPr>
                <w:b w:val="false"/>
                <w:sz w:val="26"/>
                <w:szCs w:val="26"/>
              </w:rPr>
              <w:t>выше</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Интернет браузер</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Яндекс. Браузер актуальной версии</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ПО для сканирования</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Специализированное ПО, обеспечивающее сканирование бланков итоговых сочинений</w:t>
            </w:r>
          </w:p>
        </w:tc>
      </w:tr>
    </w:tbl>
    <w:p>
      <w:pPr>
        <w:pStyle w:val="Heading2"/>
        <w:numPr>
          <w:ilvl w:val="0"/>
          <w:numId w:val="0"/>
        </w:numPr>
        <w:tabs>
          <w:tab w:val="clear" w:pos="568"/>
          <w:tab w:val="clear" w:pos="1134"/>
          <w:tab w:val="clear" w:pos="1418"/>
          <w:tab w:val="left" w:pos="0" w:leader="none"/>
          <w:tab w:val="left" w:pos="284" w:leader="none"/>
          <w:tab w:val="left" w:pos="1701" w:leader="none"/>
          <w:tab w:val="left" w:pos="1985" w:leader="none"/>
        </w:tabs>
        <w:spacing w:before="0" w:after="0"/>
        <w:ind w:hanging="0" w:left="0"/>
        <w:rPr>
          <w:b w:val="false"/>
          <w:sz w:val="26"/>
          <w:szCs w:val="26"/>
        </w:rPr>
      </w:pPr>
      <w:r>
        <w:rPr>
          <w:b w:val="false"/>
          <w:sz w:val="26"/>
          <w:szCs w:val="26"/>
        </w:rPr>
      </w:r>
    </w:p>
    <w:p>
      <w:pPr>
        <w:pStyle w:val="Heading2"/>
        <w:numPr>
          <w:ilvl w:val="1"/>
          <w:numId w:val="2"/>
        </w:numPr>
        <w:tabs>
          <w:tab w:val="clear" w:pos="568"/>
          <w:tab w:val="clear" w:pos="1134"/>
          <w:tab w:val="clear" w:pos="1418"/>
          <w:tab w:val="left" w:pos="0" w:leader="none"/>
          <w:tab w:val="left" w:pos="284" w:leader="none"/>
          <w:tab w:val="left" w:pos="1701" w:leader="none"/>
          <w:tab w:val="left" w:pos="1985" w:leader="none"/>
        </w:tabs>
        <w:spacing w:before="0" w:after="0"/>
        <w:ind w:firstLine="709" w:left="0"/>
        <w:rPr>
          <w:sz w:val="26"/>
          <w:szCs w:val="26"/>
        </w:rPr>
      </w:pPr>
      <w:r>
        <w:rPr>
          <w:sz w:val="26"/>
          <w:szCs w:val="26"/>
        </w:rPr>
        <w:t>Уровень образовательных организаций</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2.7) приведены требования к оборудованию, которое должно входить в состав рабочей станции на уровне образовательных организаций.</w:t>
      </w:r>
    </w:p>
    <w:p>
      <w:pPr>
        <w:pStyle w:val="Normal"/>
        <w:spacing w:lineRule="auto" w:line="240" w:before="0" w:after="0"/>
        <w:jc w:val="right"/>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456"/>
        <w:gridCol w:w="5899"/>
      </w:tblGrid>
      <w:tr>
        <w:trPr>
          <w:tblHeader w:val="true"/>
          <w:cantSplit w:val="true"/>
        </w:trPr>
        <w:tc>
          <w:tcPr>
            <w:tcW w:w="3456" w:type="dxa"/>
            <w:tcBorders>
              <w:top w:val="single" w:sz="12"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sz w:val="26"/>
                <w:szCs w:val="26"/>
              </w:rPr>
            </w:pPr>
            <w:r>
              <w:rPr>
                <w:sz w:val="26"/>
                <w:szCs w:val="26"/>
              </w:rPr>
              <w:t>Компонент</w:t>
            </w:r>
          </w:p>
        </w:tc>
        <w:tc>
          <w:tcPr>
            <w:tcW w:w="5899" w:type="dxa"/>
            <w:tcBorders>
              <w:top w:val="single" w:sz="12"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sz w:val="26"/>
                <w:szCs w:val="26"/>
              </w:rPr>
            </w:pPr>
            <w:r>
              <w:rPr>
                <w:sz w:val="26"/>
                <w:szCs w:val="26"/>
              </w:rPr>
              <w:t>Конфигурация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Рабочая станция на уровне образовательных организаций</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Наличие стабильного канала связи с выходом в Интернет.</w:t>
            </w:r>
          </w:p>
          <w:p>
            <w:pPr>
              <w:pStyle w:val="Style18"/>
              <w:keepNext w:val="false"/>
              <w:spacing w:before="0" w:after="0"/>
              <w:jc w:val="both"/>
              <w:rPr>
                <w:b w:val="false"/>
                <w:sz w:val="26"/>
                <w:szCs w:val="26"/>
              </w:rPr>
            </w:pPr>
            <w:r>
              <w:rPr>
                <w:b w:val="false"/>
                <w:sz w:val="26"/>
                <w:szCs w:val="26"/>
              </w:rPr>
              <w:t xml:space="preserve">Наличие </w:t>
            </w:r>
            <w:r>
              <w:rPr>
                <w:b w:val="false"/>
                <w:sz w:val="26"/>
                <w:szCs w:val="26"/>
              </w:rPr>
              <w:t>внешн</w:t>
            </w:r>
            <w:r>
              <w:rPr>
                <w:b w:val="false"/>
                <w:sz w:val="26"/>
                <w:szCs w:val="26"/>
              </w:rPr>
              <w:t>его</w:t>
            </w:r>
            <w:r>
              <w:rPr>
                <w:b w:val="false"/>
                <w:sz w:val="26"/>
                <w:szCs w:val="26"/>
              </w:rPr>
              <w:t xml:space="preserve"> интерфейс</w:t>
            </w:r>
            <w:r>
              <w:rPr>
                <w:b w:val="false"/>
                <w:sz w:val="26"/>
                <w:szCs w:val="26"/>
              </w:rPr>
              <w:t>а</w:t>
            </w:r>
            <w:r>
              <w:rPr>
                <w:b w:val="false"/>
                <w:sz w:val="26"/>
                <w:szCs w:val="26"/>
              </w:rPr>
              <w:t>: USB 2.0/</w:t>
            </w:r>
            <w:r>
              <w:rPr>
                <w:b w:val="false"/>
                <w:sz w:val="26"/>
                <w:szCs w:val="26"/>
              </w:rPr>
              <w:t>3.0</w:t>
            </w:r>
            <w:r>
              <w:rPr>
                <w:b w:val="false"/>
                <w:sz w:val="26"/>
                <w:szCs w:val="26"/>
              </w:rPr>
              <w:t>.</w:t>
            </w:r>
          </w:p>
          <w:p>
            <w:pPr>
              <w:pStyle w:val="Style18"/>
              <w:keepNext w:val="false"/>
              <w:spacing w:before="0" w:after="0"/>
              <w:jc w:val="both"/>
              <w:rPr>
                <w:b w:val="false"/>
                <w:sz w:val="26"/>
                <w:szCs w:val="26"/>
              </w:rPr>
            </w:pPr>
            <w:r>
              <w:rPr>
                <w:b w:val="false"/>
                <w:sz w:val="26"/>
                <w:szCs w:val="26"/>
              </w:rPr>
              <w:t>Дополнительных специальных требований к рабочей станции не предъявляется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Лазерный принтер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b w:val="false"/>
                <w:sz w:val="26"/>
                <w:szCs w:val="26"/>
              </w:rPr>
            </w:pPr>
            <w:r>
              <w:rPr>
                <w:b w:val="false"/>
                <w:sz w:val="26"/>
                <w:szCs w:val="26"/>
              </w:rPr>
              <w:t>Формат: А4.</w:t>
            </w:r>
          </w:p>
          <w:p>
            <w:pPr>
              <w:pStyle w:val="Style18"/>
              <w:spacing w:before="0" w:after="0"/>
              <w:jc w:val="both"/>
              <w:rPr>
                <w:b w:val="false"/>
                <w:sz w:val="26"/>
                <w:szCs w:val="26"/>
              </w:rPr>
            </w:pPr>
            <w:r>
              <w:rPr>
                <w:b w:val="false"/>
                <w:sz w:val="26"/>
                <w:szCs w:val="26"/>
              </w:rPr>
              <w:t>Скорость черно-белой печати (обычный режим, A4): 30 стр./мин.</w:t>
            </w:r>
          </w:p>
          <w:p>
            <w:pPr>
              <w:pStyle w:val="Style18"/>
              <w:spacing w:before="0" w:after="0"/>
              <w:jc w:val="both"/>
              <w:rPr>
                <w:b w:val="false"/>
                <w:sz w:val="26"/>
                <w:szCs w:val="26"/>
              </w:rPr>
            </w:pPr>
            <w:r>
              <w:rPr>
                <w:b w:val="false"/>
                <w:sz w:val="26"/>
                <w:szCs w:val="26"/>
              </w:rPr>
              <w:t>Качество черно-белой печати (режим наилучшего качества): не менее 600 x 600 точек на дюйм</w:t>
            </w:r>
          </w:p>
          <w:p>
            <w:pPr>
              <w:pStyle w:val="Style18"/>
              <w:spacing w:before="0" w:after="0"/>
              <w:jc w:val="both"/>
              <w:rPr>
                <w:b w:val="false"/>
                <w:sz w:val="26"/>
                <w:szCs w:val="26"/>
              </w:rPr>
            </w:pPr>
            <w:r>
              <w:rPr>
                <w:b w:val="false"/>
                <w:sz w:val="26"/>
                <w:szCs w:val="26"/>
              </w:rPr>
              <w:t>Технология печати: лазерная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Сканер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Normal"/>
              <w:keepNext w:val="true"/>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TWAIN-совместимый сканер</w:t>
            </w:r>
          </w:p>
          <w:p>
            <w:pPr>
              <w:pStyle w:val="Normal"/>
              <w:keepNext w:val="true"/>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Область сканирования: А4</w:t>
            </w:r>
          </w:p>
          <w:p>
            <w:pPr>
              <w:pStyle w:val="Style18"/>
              <w:spacing w:before="0" w:after="0"/>
              <w:jc w:val="both"/>
              <w:rPr>
                <w:b w:val="false"/>
                <w:sz w:val="26"/>
                <w:szCs w:val="26"/>
              </w:rPr>
            </w:pPr>
            <w:r>
              <w:rPr>
                <w:b w:val="false"/>
                <w:bCs w:val="false"/>
                <w:sz w:val="26"/>
                <w:szCs w:val="26"/>
              </w:rPr>
              <w:t>Сканирование с разрешением 300 dpi</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Ксерокс</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b w:val="false"/>
                <w:sz w:val="26"/>
                <w:szCs w:val="26"/>
              </w:rPr>
            </w:pPr>
            <w:r>
              <w:rPr>
                <w:b w:val="false"/>
                <w:sz w:val="26"/>
                <w:szCs w:val="26"/>
              </w:rPr>
              <w:t>Специальных требований не предъявляется</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2.8) приведены требования к аппаратному обеспечению рабочей станции на уровне образовательных организаций.</w:t>
      </w:r>
    </w:p>
    <w:p>
      <w:pPr>
        <w:pStyle w:val="Normal"/>
        <w:spacing w:lineRule="auto" w:line="240" w:before="0" w:after="0"/>
        <w:jc w:val="right"/>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3456"/>
        <w:gridCol w:w="5899"/>
      </w:tblGrid>
      <w:tr>
        <w:trPr>
          <w:tblHeader w:val="true"/>
          <w:cantSplit w:val="true"/>
        </w:trPr>
        <w:tc>
          <w:tcPr>
            <w:tcW w:w="3456" w:type="dxa"/>
            <w:tcBorders>
              <w:top w:val="single" w:sz="12"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sz w:val="26"/>
                <w:szCs w:val="26"/>
              </w:rPr>
            </w:pPr>
            <w:r>
              <w:rPr>
                <w:sz w:val="26"/>
                <w:szCs w:val="26"/>
              </w:rPr>
              <w:t>Компонент</w:t>
            </w:r>
          </w:p>
        </w:tc>
        <w:tc>
          <w:tcPr>
            <w:tcW w:w="5899" w:type="dxa"/>
            <w:tcBorders>
              <w:top w:val="single" w:sz="12"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sz w:val="26"/>
                <w:szCs w:val="26"/>
              </w:rPr>
            </w:pPr>
            <w:r>
              <w:rPr>
                <w:sz w:val="26"/>
                <w:szCs w:val="26"/>
              </w:rPr>
              <w:t>Конфигурация</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Центральный процессор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х86/х64 совместимый</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Оперативная память</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Минимальная: 4 Gb</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Дисковая подсистема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Свободное место не менее 1</w:t>
            </w:r>
            <w:r>
              <w:rPr>
                <w:b w:val="false"/>
                <w:sz w:val="26"/>
                <w:szCs w:val="26"/>
              </w:rPr>
              <w:t>00</w:t>
            </w:r>
            <w:r>
              <w:rPr>
                <w:b w:val="false"/>
                <w:sz w:val="26"/>
                <w:szCs w:val="26"/>
              </w:rPr>
              <w:t xml:space="preserve"> </w:t>
            </w:r>
            <w:r>
              <w:rPr>
                <w:b w:val="false"/>
                <w:sz w:val="26"/>
                <w:szCs w:val="26"/>
                <w:lang w:val="en-US"/>
              </w:rPr>
              <w:t>G</w:t>
            </w:r>
            <w:r>
              <w:rPr>
                <w:b w:val="false"/>
                <w:sz w:val="26"/>
                <w:szCs w:val="26"/>
              </w:rPr>
              <w:t>b</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Внешние интерфейсы и накопители</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Внешний интерфейс</w:t>
            </w:r>
            <w:r>
              <w:rPr>
                <w:b w:val="false"/>
                <w:sz w:val="26"/>
                <w:szCs w:val="26"/>
                <w:lang w:val="en-US"/>
              </w:rPr>
              <w:t xml:space="preserve">: </w:t>
            </w:r>
            <w:r>
              <w:rPr>
                <w:b w:val="false"/>
                <w:sz w:val="26"/>
                <w:szCs w:val="26"/>
              </w:rPr>
              <w:t>USB 2.0/</w:t>
            </w:r>
            <w:r>
              <w:rPr>
                <w:b w:val="false"/>
                <w:sz w:val="26"/>
                <w:szCs w:val="26"/>
              </w:rPr>
              <w:t>3.0</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Видеоадаптер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Встроен в чипсет материнской платы производительность не менее рекомендуемой для установленной ОС.</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Клавиатура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Присутствует</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Мышь</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Присутствует</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Монитор</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SVGA разрешение не менее 1024</w:t>
            </w:r>
            <w:r>
              <w:rPr>
                <w:b w:val="false"/>
                <w:sz w:val="26"/>
                <w:szCs w:val="26"/>
                <w:lang w:val="en-US"/>
              </w:rPr>
              <w:t>px</w:t>
            </w:r>
            <w:r>
              <w:rPr>
                <w:b w:val="false"/>
                <w:sz w:val="26"/>
                <w:szCs w:val="26"/>
              </w:rPr>
              <w:t xml:space="preserve"> по горизонтали.</w:t>
            </w:r>
          </w:p>
          <w:p>
            <w:pPr>
              <w:pStyle w:val="Style18"/>
              <w:keepNext w:val="false"/>
              <w:spacing w:before="0" w:after="0"/>
              <w:jc w:val="both"/>
              <w:rPr>
                <w:b w:val="false"/>
                <w:sz w:val="26"/>
                <w:szCs w:val="26"/>
              </w:rPr>
            </w:pPr>
            <w:r>
              <w:rPr>
                <w:b w:val="false"/>
                <w:sz w:val="26"/>
                <w:szCs w:val="26"/>
              </w:rPr>
              <w:t>Рекомендуемое разрешение: 1280x1024</w:t>
            </w:r>
          </w:p>
        </w:tc>
      </w:tr>
      <w:tr>
        <w:trPr>
          <w:cantSplit w:val="true"/>
        </w:trPr>
        <w:tc>
          <w:tcPr>
            <w:tcW w:w="345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lang w:val="en-US"/>
              </w:rPr>
            </w:pPr>
            <w:r>
              <w:rPr>
                <w:b w:val="false"/>
                <w:sz w:val="26"/>
                <w:szCs w:val="26"/>
              </w:rPr>
              <w:t>Сетевая плата</w:t>
            </w:r>
          </w:p>
        </w:tc>
        <w:tc>
          <w:tcPr>
            <w:tcW w:w="589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Ethernet 10/100 Мбит</w:t>
            </w:r>
          </w:p>
        </w:tc>
      </w:tr>
      <w:tr>
        <w:trPr>
          <w:cantSplit w:val="true"/>
        </w:trPr>
        <w:tc>
          <w:tcPr>
            <w:tcW w:w="3456" w:type="dxa"/>
            <w:tcBorders>
              <w:top w:val="single" w:sz="4" w:space="0" w:color="000000"/>
              <w:left w:val="single" w:sz="8" w:space="0" w:color="000000"/>
              <w:bottom w:val="single" w:sz="12"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Система бесперебойного питания (рекомендуется)</w:t>
            </w:r>
          </w:p>
        </w:tc>
        <w:tc>
          <w:tcPr>
            <w:tcW w:w="5899" w:type="dxa"/>
            <w:tcBorders>
              <w:top w:val="single" w:sz="4" w:space="0" w:color="000000"/>
              <w:left w:val="single" w:sz="4" w:space="0" w:color="000000"/>
              <w:bottom w:val="single" w:sz="12"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Выходная мощность, соответствующая потребляемой мощности подключённой рабочей станции.</w:t>
            </w:r>
          </w:p>
          <w:p>
            <w:pPr>
              <w:pStyle w:val="Style18"/>
              <w:keepNext w:val="false"/>
              <w:spacing w:before="0" w:after="0"/>
              <w:jc w:val="both"/>
              <w:rPr>
                <w:b w:val="false"/>
                <w:sz w:val="26"/>
                <w:szCs w:val="26"/>
              </w:rPr>
            </w:pPr>
            <w:r>
              <w:rPr>
                <w:b w:val="false"/>
                <w:sz w:val="26"/>
                <w:szCs w:val="26"/>
              </w:rPr>
              <w:t>Время работы при полной нагрузке: не менее 15 мин.</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2.9) приведены требования к конфигурации программного обеспечения на уровне образовательных организаций.</w:t>
      </w:r>
    </w:p>
    <w:p>
      <w:pPr>
        <w:pStyle w:val="Normal"/>
        <w:spacing w:lineRule="auto" w:line="240" w:before="0" w:after="0"/>
        <w:jc w:val="both"/>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2836"/>
        <w:gridCol w:w="6519"/>
      </w:tblGrid>
      <w:tr>
        <w:trPr>
          <w:tblHeader w:val="true"/>
          <w:cantSplit w:val="true"/>
        </w:trPr>
        <w:tc>
          <w:tcPr>
            <w:tcW w:w="2836" w:type="dxa"/>
            <w:tcBorders>
              <w:top w:val="single" w:sz="12" w:space="0" w:color="000000"/>
              <w:left w:val="single" w:sz="8" w:space="0" w:color="000000"/>
              <w:bottom w:val="single" w:sz="4" w:space="0" w:color="000000"/>
              <w:right w:val="single" w:sz="4" w:space="0" w:color="000000"/>
            </w:tcBorders>
            <w:shd w:color="auto" w:fill="auto" w:val="clear"/>
          </w:tcPr>
          <w:p>
            <w:pPr>
              <w:pStyle w:val="Style18"/>
              <w:tabs>
                <w:tab w:val="clear" w:pos="708"/>
                <w:tab w:val="right" w:pos="2727" w:leader="none"/>
              </w:tabs>
              <w:spacing w:before="0" w:after="0"/>
              <w:jc w:val="both"/>
              <w:rPr>
                <w:sz w:val="26"/>
                <w:szCs w:val="26"/>
              </w:rPr>
            </w:pPr>
            <w:r>
              <w:rPr>
                <w:sz w:val="26"/>
                <w:szCs w:val="26"/>
              </w:rPr>
              <w:t>Компонент</w:t>
            </w:r>
          </w:p>
        </w:tc>
        <w:tc>
          <w:tcPr>
            <w:tcW w:w="6519" w:type="dxa"/>
            <w:tcBorders>
              <w:top w:val="single" w:sz="12" w:space="0" w:color="000000"/>
              <w:left w:val="single" w:sz="4" w:space="0" w:color="000000"/>
              <w:bottom w:val="single" w:sz="4" w:space="0" w:color="000000"/>
              <w:right w:val="single" w:sz="8" w:space="0" w:color="000000"/>
            </w:tcBorders>
            <w:shd w:color="auto" w:fill="auto" w:val="clear"/>
          </w:tcPr>
          <w:p>
            <w:pPr>
              <w:pStyle w:val="Style18"/>
              <w:spacing w:before="0" w:after="0"/>
              <w:jc w:val="both"/>
              <w:rPr>
                <w:sz w:val="26"/>
                <w:szCs w:val="26"/>
              </w:rPr>
            </w:pPr>
            <w:r>
              <w:rPr>
                <w:sz w:val="26"/>
                <w:szCs w:val="26"/>
              </w:rPr>
              <w:t>Конфигурация</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Операционная система</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 xml:space="preserve">Windows </w:t>
            </w:r>
            <w:r>
              <w:rPr>
                <w:b w:val="false"/>
                <w:sz w:val="26"/>
                <w:szCs w:val="26"/>
              </w:rPr>
              <w:t>7</w:t>
            </w:r>
            <w:r>
              <w:rPr>
                <w:b w:val="false"/>
                <w:sz w:val="26"/>
                <w:szCs w:val="26"/>
                <w:lang w:val="en-US"/>
              </w:rPr>
              <w:t xml:space="preserve"> </w:t>
            </w:r>
            <w:r>
              <w:rPr>
                <w:b w:val="false"/>
                <w:sz w:val="26"/>
                <w:szCs w:val="26"/>
              </w:rPr>
              <w:t>и</w:t>
            </w:r>
            <w:r>
              <w:rPr>
                <w:b w:val="false"/>
                <w:sz w:val="26"/>
                <w:szCs w:val="26"/>
                <w:lang w:val="en-US"/>
              </w:rPr>
              <w:t xml:space="preserve"> </w:t>
            </w:r>
            <w:r>
              <w:rPr>
                <w:b w:val="false"/>
                <w:sz w:val="26"/>
                <w:szCs w:val="26"/>
              </w:rPr>
              <w:t>выше</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Дополнительное ПО</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 xml:space="preserve">Microsoft .NET Framework 3.5 </w:t>
            </w:r>
            <w:r>
              <w:rPr>
                <w:b w:val="false"/>
                <w:sz w:val="26"/>
                <w:szCs w:val="26"/>
              </w:rPr>
              <w:t>и</w:t>
            </w:r>
            <w:r>
              <w:rPr>
                <w:b w:val="false"/>
                <w:sz w:val="26"/>
                <w:szCs w:val="26"/>
                <w:lang w:val="en-US"/>
              </w:rPr>
              <w:t xml:space="preserve"> </w:t>
            </w:r>
            <w:r>
              <w:rPr>
                <w:b w:val="false"/>
                <w:sz w:val="26"/>
                <w:szCs w:val="26"/>
              </w:rPr>
              <w:t>выше</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Интернет браузер</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lang w:val="en-US"/>
              </w:rPr>
            </w:pPr>
            <w:r>
              <w:rPr>
                <w:b w:val="false"/>
                <w:sz w:val="26"/>
                <w:szCs w:val="26"/>
                <w:lang w:val="en-US"/>
              </w:rPr>
              <w:t>Яндекс. Браузер актуальной версии</w:t>
            </w:r>
          </w:p>
        </w:tc>
      </w:tr>
      <w:tr>
        <w:trPr>
          <w:cantSplit w:val="true"/>
        </w:trPr>
        <w:tc>
          <w:tcPr>
            <w:tcW w:w="2836" w:type="dxa"/>
            <w:tcBorders>
              <w:top w:val="single" w:sz="4" w:space="0" w:color="000000"/>
              <w:left w:val="single" w:sz="8" w:space="0" w:color="000000"/>
              <w:bottom w:val="single" w:sz="4" w:space="0" w:color="000000"/>
              <w:right w:val="single" w:sz="4" w:space="0" w:color="000000"/>
            </w:tcBorders>
            <w:shd w:color="auto" w:fill="auto" w:val="clear"/>
          </w:tcPr>
          <w:p>
            <w:pPr>
              <w:pStyle w:val="Style18"/>
              <w:keepNext w:val="false"/>
              <w:spacing w:before="0" w:after="0"/>
              <w:jc w:val="both"/>
              <w:rPr>
                <w:b w:val="false"/>
                <w:sz w:val="26"/>
                <w:szCs w:val="26"/>
              </w:rPr>
            </w:pPr>
            <w:r>
              <w:rPr>
                <w:b w:val="false"/>
                <w:sz w:val="26"/>
                <w:szCs w:val="26"/>
              </w:rPr>
              <w:t>ПО для сканирования</w:t>
            </w:r>
          </w:p>
        </w:tc>
        <w:tc>
          <w:tcPr>
            <w:tcW w:w="6519" w:type="dxa"/>
            <w:tcBorders>
              <w:top w:val="single" w:sz="4" w:space="0" w:color="000000"/>
              <w:left w:val="single" w:sz="4" w:space="0" w:color="000000"/>
              <w:bottom w:val="single" w:sz="4" w:space="0" w:color="000000"/>
              <w:right w:val="single" w:sz="8" w:space="0" w:color="000000"/>
            </w:tcBorders>
            <w:shd w:color="auto" w:fill="auto" w:val="clear"/>
          </w:tcPr>
          <w:p>
            <w:pPr>
              <w:pStyle w:val="Style18"/>
              <w:keepNext w:val="false"/>
              <w:spacing w:before="0" w:after="0"/>
              <w:jc w:val="both"/>
              <w:rPr>
                <w:b w:val="false"/>
                <w:sz w:val="26"/>
                <w:szCs w:val="26"/>
              </w:rPr>
            </w:pPr>
            <w:r>
              <w:rPr>
                <w:b w:val="false"/>
                <w:sz w:val="26"/>
                <w:szCs w:val="26"/>
              </w:rPr>
              <w:t>Специализированное ПО, обеспечивающее сканирование бланков итоговых сочинений</w:t>
            </w:r>
          </w:p>
        </w:tc>
      </w:tr>
    </w:tbl>
    <w:p>
      <w:pPr>
        <w:pStyle w:val="11"/>
        <w:rPr/>
      </w:pPr>
      <w:r>
        <w:rPr/>
      </w:r>
    </w:p>
    <w:p>
      <w:pPr>
        <w:pStyle w:val="11"/>
        <w:numPr>
          <w:ilvl w:val="0"/>
          <w:numId w:val="2"/>
        </w:numPr>
        <w:rPr>
          <w:sz w:val="26"/>
          <w:szCs w:val="26"/>
        </w:rPr>
      </w:pPr>
      <w:r>
        <w:rPr>
          <w:sz w:val="26"/>
          <w:szCs w:val="26"/>
        </w:rPr>
        <w:t>Требования к техническому и программному оснащению сервера публикации бланков</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сочинение (изложения), а также бланков ЕГЭ.</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Основным параметром, который определяет требования к серверу, является количество участников в регионе.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Основными критичными факторами являются: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пропускная способность канала;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скорость работы дисковой системы сервера.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(см. Таблица 3.1) приведены требования к конфигурации сервера исходя из количества участников ЕГЭ в регионе.</w:t>
      </w:r>
    </w:p>
    <w:p>
      <w:pPr>
        <w:pStyle w:val="Normal"/>
        <w:spacing w:lineRule="auto" w:line="240" w:before="0" w:after="0"/>
        <w:jc w:val="right"/>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Style w:val="afa"/>
        <w:tblW w:w="534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360"/>
        <w:gridCol w:w="1982"/>
      </w:tblGrid>
      <w:tr>
        <w:trPr>
          <w:trHeight w:val="255" w:hRule="atLeast"/>
        </w:trPr>
        <w:tc>
          <w:tcPr>
            <w:tcW w:w="3360" w:type="dxa"/>
            <w:tcBorders/>
          </w:tcPr>
          <w:p>
            <w:pPr>
              <w:pStyle w:val="Style18"/>
              <w:widowControl/>
              <w:tabs>
                <w:tab w:val="clear" w:pos="708"/>
                <w:tab w:val="right" w:pos="2727" w:leader="none"/>
              </w:tabs>
              <w:suppressAutoHyphens w:val="true"/>
              <w:spacing w:before="0" w:after="0"/>
              <w:jc w:val="both"/>
              <w:rPr>
                <w:sz w:val="26"/>
                <w:szCs w:val="26"/>
              </w:rPr>
            </w:pPr>
            <w:r>
              <w:rPr>
                <w:kern w:val="0"/>
                <w:sz w:val="26"/>
                <w:szCs w:val="26"/>
                <w:lang w:val="ru-RU" w:eastAsia="ru-RU" w:bidi="ar-SA"/>
              </w:rPr>
              <w:t>Компонент</w:t>
            </w:r>
          </w:p>
        </w:tc>
        <w:tc>
          <w:tcPr>
            <w:tcW w:w="1982" w:type="dxa"/>
            <w:tcBorders/>
          </w:tcPr>
          <w:p>
            <w:pPr>
              <w:pStyle w:val="Style18"/>
              <w:widowControl/>
              <w:suppressAutoHyphens w:val="true"/>
              <w:spacing w:before="0" w:after="0"/>
              <w:jc w:val="both"/>
              <w:rPr>
                <w:sz w:val="26"/>
                <w:szCs w:val="26"/>
              </w:rPr>
            </w:pPr>
            <w:r>
              <w:rPr>
                <w:kern w:val="0"/>
                <w:sz w:val="26"/>
                <w:szCs w:val="26"/>
                <w:lang w:val="ru-RU" w:eastAsia="ru-RU" w:bidi="ar-SA"/>
              </w:rPr>
              <w:t>Конфигурация</w:t>
            </w:r>
          </w:p>
        </w:tc>
      </w:tr>
      <w:tr>
        <w:trPr>
          <w:trHeight w:val="255" w:hRule="atLeast"/>
        </w:trPr>
        <w:tc>
          <w:tcPr>
            <w:tcW w:w="3360" w:type="dxa"/>
            <w:tcBorders/>
            <w:vAlign w:val="center"/>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Процессор</w:t>
            </w:r>
          </w:p>
        </w:tc>
        <w:tc>
          <w:tcPr>
            <w:tcW w:w="1982" w:type="dxa"/>
            <w:tcBorders/>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4 ядра от 2 Ггц</w:t>
            </w:r>
          </w:p>
        </w:tc>
      </w:tr>
      <w:tr>
        <w:trPr>
          <w:trHeight w:val="255" w:hRule="atLeast"/>
        </w:trPr>
        <w:tc>
          <w:tcPr>
            <w:tcW w:w="3360" w:type="dxa"/>
            <w:tcBorders/>
            <w:vAlign w:val="center"/>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RAM</w:t>
            </w:r>
          </w:p>
        </w:tc>
        <w:tc>
          <w:tcPr>
            <w:tcW w:w="1982" w:type="dxa"/>
            <w:tcBorders/>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от 8 Гб</w:t>
            </w:r>
          </w:p>
        </w:tc>
      </w:tr>
      <w:tr>
        <w:trPr>
          <w:trHeight w:val="255" w:hRule="atLeast"/>
        </w:trPr>
        <w:tc>
          <w:tcPr>
            <w:tcW w:w="3360" w:type="dxa"/>
            <w:tcBorders/>
            <w:vAlign w:val="center"/>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Пропускная сп</w:t>
            </w:r>
            <w:bookmarkStart w:id="12" w:name="_GoBack"/>
            <w:bookmarkEnd w:id="12"/>
            <w:r>
              <w:rPr>
                <w:b w:val="false"/>
                <w:kern w:val="0"/>
                <w:sz w:val="26"/>
                <w:szCs w:val="26"/>
                <w:lang w:val="ru-RU" w:eastAsia="ru-RU" w:bidi="ar-SA"/>
              </w:rPr>
              <w:t>особность канала</w:t>
            </w:r>
          </w:p>
        </w:tc>
        <w:tc>
          <w:tcPr>
            <w:tcW w:w="1982" w:type="dxa"/>
            <w:tcBorders/>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100 Мбит/с</w:t>
            </w:r>
          </w:p>
        </w:tc>
      </w:tr>
      <w:tr>
        <w:trPr>
          <w:trHeight w:val="255" w:hRule="atLeast"/>
        </w:trPr>
        <w:tc>
          <w:tcPr>
            <w:tcW w:w="3360" w:type="dxa"/>
            <w:tcBorders/>
            <w:vAlign w:val="center"/>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Жесткий диск:</w:t>
            </w:r>
          </w:p>
        </w:tc>
        <w:tc>
          <w:tcPr>
            <w:tcW w:w="1982" w:type="dxa"/>
            <w:tcBorders/>
            <w:vAlign w:val="center"/>
          </w:tcPr>
          <w:p>
            <w:pPr>
              <w:pStyle w:val="Style18"/>
              <w:keepNext w:val="false"/>
              <w:widowControl/>
              <w:suppressAutoHyphens w:val="true"/>
              <w:spacing w:before="0" w:after="0"/>
              <w:jc w:val="both"/>
              <w:rPr>
                <w:b w:val="false"/>
                <w:sz w:val="26"/>
                <w:szCs w:val="26"/>
              </w:rPr>
            </w:pPr>
            <w:r>
              <w:rPr>
                <w:b w:val="false"/>
                <w:sz w:val="26"/>
                <w:szCs w:val="26"/>
              </w:rPr>
            </w:r>
          </w:p>
        </w:tc>
      </w:tr>
      <w:tr>
        <w:trPr>
          <w:trHeight w:val="255" w:hRule="atLeast"/>
        </w:trPr>
        <w:tc>
          <w:tcPr>
            <w:tcW w:w="3360" w:type="dxa"/>
            <w:tcBorders/>
            <w:vAlign w:val="center"/>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Рекомендованный RAID</w:t>
            </w:r>
          </w:p>
        </w:tc>
        <w:tc>
          <w:tcPr>
            <w:tcW w:w="1982" w:type="dxa"/>
            <w:tcBorders/>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RAID-0</w:t>
            </w:r>
          </w:p>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4 диска</w:t>
            </w:r>
          </w:p>
        </w:tc>
      </w:tr>
      <w:tr>
        <w:trPr>
          <w:trHeight w:val="255" w:hRule="atLeast"/>
        </w:trPr>
        <w:tc>
          <w:tcPr>
            <w:tcW w:w="3360" w:type="dxa"/>
            <w:tcBorders/>
            <w:vAlign w:val="center"/>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Объем данных, ГБ</w:t>
            </w:r>
          </w:p>
        </w:tc>
        <w:tc>
          <w:tcPr>
            <w:tcW w:w="1982" w:type="dxa"/>
            <w:tcBorders/>
          </w:tcPr>
          <w:p>
            <w:pPr>
              <w:pStyle w:val="Style18"/>
              <w:keepNext w:val="false"/>
              <w:widowControl/>
              <w:suppressAutoHyphens w:val="true"/>
              <w:spacing w:before="0" w:after="0"/>
              <w:jc w:val="both"/>
              <w:rPr>
                <w:b w:val="false"/>
                <w:sz w:val="26"/>
                <w:szCs w:val="26"/>
              </w:rPr>
            </w:pPr>
            <w:r>
              <w:rPr>
                <w:b w:val="false"/>
                <w:kern w:val="0"/>
                <w:sz w:val="26"/>
                <w:szCs w:val="26"/>
                <w:lang w:val="ru-RU" w:eastAsia="ru-RU" w:bidi="ar-SA"/>
              </w:rPr>
              <w:t>200</w:t>
            </w:r>
          </w:p>
        </w:tc>
      </w:tr>
    </w:tbl>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следующей таблице приведены требования к системному программному обеспечению сервера и настройке сервера.</w:t>
      </w:r>
    </w:p>
    <w:p>
      <w:pPr>
        <w:pStyle w:val="Normal"/>
        <w:spacing w:lineRule="auto" w:line="240" w:before="0" w:after="0"/>
        <w:jc w:val="right"/>
        <w:rPr>
          <w:rFonts w:ascii="Times New Roman" w:hAnsi="Times New Roman" w:cs="Times New Roman"/>
          <w:sz w:val="26"/>
          <w:szCs w:val="26"/>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3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968"/>
        <w:gridCol w:w="5387"/>
      </w:tblGrid>
      <w:tr>
        <w:trPr>
          <w:tblHeader w:val="true"/>
        </w:trPr>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Параметр</w:t>
            </w:r>
          </w:p>
        </w:tc>
        <w:tc>
          <w:tcPr>
            <w:tcW w:w="5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Times New Roman" w:hAnsi="Times New Roman" w:cs="Times New Roman"/>
                <w:b/>
                <w:sz w:val="26"/>
                <w:szCs w:val="26"/>
              </w:rPr>
            </w:pPr>
            <w:r>
              <w:rPr>
                <w:rFonts w:cs="Times New Roman" w:ascii="Times New Roman" w:hAnsi="Times New Roman"/>
                <w:b/>
                <w:sz w:val="26"/>
                <w:szCs w:val="26"/>
              </w:rPr>
              <w:t>Значение</w:t>
            </w:r>
          </w:p>
        </w:tc>
      </w:tr>
      <w:tr>
        <w:trPr>
          <w:trHeight w:val="491"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Операционная система</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lang w:val="en-US"/>
              </w:rPr>
              <w:t>Windows</w:t>
            </w:r>
            <w:r>
              <w:rPr>
                <w:rFonts w:cs="Times New Roman" w:ascii="Times New Roman" w:hAnsi="Times New Roman"/>
                <w:sz w:val="26"/>
                <w:szCs w:val="26"/>
              </w:rPr>
              <w:t xml:space="preserve"> 20</w:t>
            </w:r>
            <w:r>
              <w:rPr>
                <w:rFonts w:cs="Times New Roman" w:ascii="Times New Roman" w:hAnsi="Times New Roman"/>
                <w:sz w:val="26"/>
                <w:szCs w:val="26"/>
              </w:rPr>
              <w:t>12</w:t>
            </w:r>
            <w:r>
              <w:rPr>
                <w:rFonts w:cs="Times New Roman" w:ascii="Times New Roman" w:hAnsi="Times New Roman"/>
                <w:sz w:val="26"/>
                <w:szCs w:val="26"/>
              </w:rPr>
              <w:t xml:space="preserve"> </w:t>
            </w:r>
            <w:r>
              <w:rPr>
                <w:rFonts w:cs="Times New Roman" w:ascii="Times New Roman" w:hAnsi="Times New Roman"/>
                <w:sz w:val="26"/>
                <w:szCs w:val="26"/>
                <w:lang w:val="en-US"/>
              </w:rPr>
              <w:t>Server</w:t>
            </w:r>
            <w:r>
              <w:rPr>
                <w:rFonts w:cs="Times New Roman" w:ascii="Times New Roman" w:hAnsi="Times New Roman"/>
                <w:sz w:val="26"/>
                <w:szCs w:val="26"/>
              </w:rPr>
              <w:t xml:space="preserve"> </w:t>
            </w:r>
          </w:p>
        </w:tc>
      </w:tr>
      <w:tr>
        <w:trPr>
          <w:trHeight w:val="491"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lang w:val="en-US"/>
              </w:rPr>
              <w:t xml:space="preserve">Web </w:t>
            </w:r>
            <w:r>
              <w:rPr>
                <w:rFonts w:cs="Times New Roman" w:ascii="Times New Roman" w:hAnsi="Times New Roman"/>
                <w:sz w:val="26"/>
                <w:szCs w:val="26"/>
              </w:rPr>
              <w:t>сервер</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lang w:val="en-US"/>
              </w:rPr>
              <w:t xml:space="preserve">IIS </w:t>
            </w:r>
            <w:r>
              <w:rPr>
                <w:rFonts w:cs="Times New Roman" w:ascii="Times New Roman" w:hAnsi="Times New Roman"/>
                <w:sz w:val="26"/>
                <w:szCs w:val="26"/>
                <w:lang w:val="en-US"/>
              </w:rPr>
              <w:t>8</w:t>
            </w:r>
            <w:r>
              <w:rPr>
                <w:rFonts w:cs="Times New Roman" w:ascii="Times New Roman" w:hAnsi="Times New Roman"/>
                <w:sz w:val="26"/>
                <w:szCs w:val="26"/>
                <w:lang w:val="en-US"/>
              </w:rPr>
              <w:t>.0</w:t>
            </w:r>
          </w:p>
        </w:tc>
      </w:tr>
      <w:tr>
        <w:trPr>
          <w:trHeight w:val="378"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lang w:val="en-US"/>
              </w:rPr>
            </w:pPr>
            <w:r>
              <w:rPr>
                <w:rFonts w:cs="Times New Roman" w:ascii="Times New Roman" w:hAnsi="Times New Roman"/>
                <w:sz w:val="26"/>
                <w:szCs w:val="26"/>
              </w:rPr>
              <w:t>Поддерживаемые протоколы</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lang w:val="en-US"/>
              </w:rPr>
            </w:pPr>
            <w:r>
              <w:rPr>
                <w:rFonts w:cs="Times New Roman" w:ascii="Times New Roman" w:hAnsi="Times New Roman"/>
                <w:sz w:val="26"/>
                <w:szCs w:val="26"/>
                <w:lang w:val="en-US"/>
              </w:rPr>
              <w:t>http</w:t>
            </w:r>
          </w:p>
        </w:tc>
      </w:tr>
      <w:tr>
        <w:trPr>
          <w:trHeight w:val="563"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Поддержка </w:t>
            </w:r>
            <w:r>
              <w:rPr>
                <w:rFonts w:cs="Times New Roman" w:ascii="Times New Roman" w:hAnsi="Times New Roman"/>
                <w:sz w:val="26"/>
                <w:szCs w:val="26"/>
                <w:lang w:val="en-US"/>
              </w:rPr>
              <w:t>https</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не требуется</w:t>
            </w:r>
          </w:p>
        </w:tc>
      </w:tr>
      <w:tr>
        <w:trPr>
          <w:trHeight w:val="563"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lang w:val="en-US"/>
              </w:rPr>
            </w:pPr>
            <w:r>
              <w:rPr>
                <w:rFonts w:cs="Times New Roman" w:ascii="Times New Roman" w:hAnsi="Times New Roman"/>
                <w:sz w:val="26"/>
                <w:szCs w:val="26"/>
              </w:rPr>
              <w:t xml:space="preserve">Поддержка </w:t>
            </w:r>
            <w:r>
              <w:rPr>
                <w:rFonts w:cs="Times New Roman" w:ascii="Times New Roman" w:hAnsi="Times New Roman"/>
                <w:sz w:val="26"/>
                <w:szCs w:val="26"/>
                <w:lang w:val="en-US"/>
              </w:rPr>
              <w:t>ftp</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не требуется</w:t>
            </w:r>
          </w:p>
        </w:tc>
      </w:tr>
      <w:tr>
        <w:trPr>
          <w:trHeight w:val="625"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Аутентификация и авторизация пользователей</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нет</w:t>
            </w:r>
          </w:p>
        </w:tc>
      </w:tr>
      <w:tr>
        <w:trPr>
          <w:trHeight w:val="625"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Анонимный доступ</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да</w:t>
            </w:r>
          </w:p>
        </w:tc>
      </w:tr>
      <w:tr>
        <w:trPr>
          <w:trHeight w:val="625"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Внешний статический </w:t>
            </w:r>
            <w:r>
              <w:rPr>
                <w:rFonts w:cs="Times New Roman" w:ascii="Times New Roman" w:hAnsi="Times New Roman"/>
                <w:sz w:val="26"/>
                <w:szCs w:val="26"/>
                <w:lang w:val="en-US"/>
              </w:rPr>
              <w:t xml:space="preserve">IP </w:t>
            </w:r>
            <w:r>
              <w:rPr>
                <w:rFonts w:cs="Times New Roman" w:ascii="Times New Roman" w:hAnsi="Times New Roman"/>
                <w:sz w:val="26"/>
                <w:szCs w:val="26"/>
              </w:rPr>
              <w:t>адрес</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да</w:t>
            </w:r>
          </w:p>
        </w:tc>
      </w:tr>
      <w:tr>
        <w:trPr>
          <w:trHeight w:val="625" w:hRule="atLeast"/>
        </w:trPr>
        <w:tc>
          <w:tcPr>
            <w:tcW w:w="39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Сервер СУБД</w:t>
            </w:r>
          </w:p>
        </w:tc>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нет</w:t>
            </w:r>
          </w:p>
        </w:tc>
      </w:tr>
    </w:tbl>
    <w:p>
      <w:pPr>
        <w:pStyle w:val="11"/>
        <w:rPr/>
      </w:pPr>
      <w:r>
        <w:rPr/>
      </w:r>
    </w:p>
    <w:p>
      <w:pPr>
        <w:pStyle w:val="11"/>
        <w:numPr>
          <w:ilvl w:val="0"/>
          <w:numId w:val="2"/>
        </w:numPr>
        <w:rPr>
          <w:sz w:val="26"/>
          <w:szCs w:val="26"/>
        </w:rPr>
      </w:pPr>
      <w:r>
        <w:rPr>
          <w:sz w:val="26"/>
          <w:szCs w:val="26"/>
        </w:rPr>
        <w:t xml:space="preserve">Требования к материальному оснащению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На региональном, муниципальном уровнях и уровне образовательных организаций должно быть подготовлено необходимое количество бумаги формата А4, 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дополнительного бланка записи по запросу участника итогового сочинения (изложения)..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pPr>
        <w:pStyle w:val="Normal"/>
        <w:spacing w:lineRule="auto" w:line="240" w:before="0" w:after="0"/>
        <w:ind w:firstLine="709"/>
        <w:jc w:val="both"/>
        <w:rPr>
          <w:sz w:val="26"/>
          <w:szCs w:val="26"/>
        </w:rPr>
      </w:pPr>
      <w:r>
        <w:rPr>
          <w:rFonts w:eastAsia="Calibri" w:cs="Times New Roman" w:ascii="Times New Roman" w:hAnsi="Times New Roman"/>
          <w:sz w:val="26"/>
          <w:szCs w:val="26"/>
        </w:rPr>
        <w:t>В целях осуществления проверки и оценивании итогового сочинения (изложения) комиссии образовательных организаций обеспечиваются необходимыми техническими средствами (ксерокс, сканер, компьютер с возможностью выхода в Интернет и др.).</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1" w:gutter="0" w:header="709" w:top="1134" w:footer="709"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Cambria">
    <w:charset w:val="01"/>
    <w:family w:val="roman"/>
    <w:pitch w:val="default"/>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91235004"/>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8</w:t>
        </w:r>
        <w:r>
          <w:rPr>
            <w:sz w:val="24"/>
            <w:szCs w:val="24"/>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1" w:hanging="1"/>
      </w:pPr>
      <w:rPr/>
    </w:lvl>
    <w:lvl w:ilvl="1">
      <w:start w:val="1"/>
      <w:pStyle w:val="Heading2"/>
      <w:numFmt w:val="decimal"/>
      <w:lvlText w:val="%1.%2"/>
      <w:lvlJc w:val="left"/>
      <w:pPr>
        <w:tabs>
          <w:tab w:val="num" w:pos="851"/>
        </w:tabs>
        <w:ind w:left="851" w:hanging="0"/>
      </w:pPr>
      <w:rPr>
        <w:rFonts w:ascii="Times New Roman" w:hAnsi="Times New Roman"/>
      </w:rPr>
    </w:lvl>
    <w:lvl w:ilvl="2">
      <w:start w:val="1"/>
      <w:pStyle w:val="Heading3"/>
      <w:numFmt w:val="decimal"/>
      <w:lvlText w:val="%1.%2.%3 "/>
      <w:lvlJc w:val="left"/>
      <w:pPr>
        <w:tabs>
          <w:tab w:val="num" w:pos="1"/>
        </w:tabs>
        <w:ind w:left="851" w:hanging="0"/>
      </w:pPr>
      <w:rPr>
        <w:rFonts w:ascii="Times New Roman" w:hAnsi="Times New Roman"/>
      </w:rPr>
    </w:lvl>
    <w:lvl w:ilvl="3">
      <w:start w:val="1"/>
      <w:pStyle w:val="Heading4"/>
      <w:numFmt w:val="decimal"/>
      <w:lvlText w:val="%1.%2.%3.%4 "/>
      <w:lvlJc w:val="left"/>
      <w:pPr>
        <w:tabs>
          <w:tab w:val="num" w:pos="0"/>
        </w:tabs>
        <w:ind w:left="0" w:firstLine="851"/>
      </w:pPr>
      <w:rPr>
        <w:rFonts w:ascii="Times New Roman" w:hAnsi="Times New Roman"/>
      </w:rPr>
    </w:lvl>
    <w:lvl w:ilvl="4">
      <w:start w:val="1"/>
      <w:pStyle w:val="Heading5"/>
      <w:numFmt w:val="decimal"/>
      <w:lvlText w:val="%1.%2.%3.%4.%5 "/>
      <w:lvlJc w:val="left"/>
      <w:pPr>
        <w:tabs>
          <w:tab w:val="num" w:pos="589"/>
        </w:tabs>
        <w:ind w:left="1" w:firstLine="850"/>
      </w:pPr>
      <w:rPr>
        <w:rFonts w:ascii="Times New Roman" w:hAnsi="Times New Roman"/>
      </w:rPr>
    </w:lvl>
    <w:lvl w:ilvl="5">
      <w:start w:val="1"/>
      <w:pStyle w:val="Heading6"/>
      <w:numFmt w:val="decimal"/>
      <w:lvlText w:val="%1.%2.%3.%4.%5.%6 "/>
      <w:lvlJc w:val="left"/>
      <w:pPr>
        <w:tabs>
          <w:tab w:val="num" w:pos="949"/>
        </w:tabs>
        <w:ind w:left="1" w:hanging="1"/>
      </w:pPr>
      <w:rPr>
        <w:rFonts w:ascii="Times New Roman" w:hAnsi="Times New Roman"/>
      </w:rPr>
    </w:lvl>
    <w:lvl w:ilvl="6">
      <w:start w:val="1"/>
      <w:numFmt w:val="decimal"/>
      <w:lvlText w:val="%1.%2.%3.%4.%5.%6.%7"/>
      <w:lvlJc w:val="left"/>
      <w:pPr>
        <w:tabs>
          <w:tab w:val="num" w:pos="2160"/>
        </w:tabs>
        <w:ind w:left="852" w:hanging="852"/>
      </w:pPr>
      <w:rPr>
        <w:rFonts w:ascii="Arial Narrow" w:hAnsi="Arial Narrow"/>
      </w:rPr>
    </w:lvl>
    <w:lvl w:ilvl="7">
      <w:start w:val="1"/>
      <w:numFmt w:val="decimal"/>
      <w:lvlText w:val="%1.%2.%3.%4.%5.%6.%7.%8"/>
      <w:lvlJc w:val="left"/>
      <w:pPr>
        <w:tabs>
          <w:tab w:val="num" w:pos="1309"/>
        </w:tabs>
        <w:ind w:left="1" w:hanging="852"/>
      </w:pPr>
      <w:rPr>
        <w:rFonts w:ascii="Arial Narrow" w:hAnsi="Arial Narrow"/>
      </w:rPr>
    </w:lvl>
    <w:lvl w:ilvl="8">
      <w:start w:val="1"/>
      <w:numFmt w:val="decimal"/>
      <w:lvlText w:val="%1.%2.%3.%4.%5.%6.%7.%8.%9"/>
      <w:lvlJc w:val="left"/>
      <w:pPr>
        <w:tabs>
          <w:tab w:val="num" w:pos="1669"/>
        </w:tabs>
        <w:ind w:left="1" w:hanging="852"/>
      </w:pPr>
      <w:rPr>
        <w:rFonts w:ascii="Arial Narrow" w:hAnsi="Arial Narrow"/>
      </w:rPr>
    </w:lvl>
  </w:abstractNum>
  <w:abstractNum w:abstractNumId="2">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571" w:hanging="720"/>
      </w:pPr>
      <w:rPr/>
    </w:lvl>
    <w:lvl w:ilvl="2">
      <w:start w:val="1"/>
      <w:isLgl/>
      <w:numFmt w:val="decimal"/>
      <w:lvlText w:val="%1.%2.%3."/>
      <w:lvlJc w:val="left"/>
      <w:pPr>
        <w:tabs>
          <w:tab w:val="num" w:pos="0"/>
        </w:tabs>
        <w:ind w:left="2062" w:hanging="720"/>
      </w:pPr>
      <w:rPr/>
    </w:lvl>
    <w:lvl w:ilvl="3">
      <w:start w:val="1"/>
      <w:isLgl/>
      <w:numFmt w:val="decimal"/>
      <w:lvlText w:val="%1.%2.%3.%4."/>
      <w:lvlJc w:val="left"/>
      <w:pPr>
        <w:tabs>
          <w:tab w:val="num" w:pos="0"/>
        </w:tabs>
        <w:ind w:left="2913" w:hanging="1080"/>
      </w:pPr>
      <w:rPr/>
    </w:lvl>
    <w:lvl w:ilvl="4">
      <w:start w:val="1"/>
      <w:isLgl/>
      <w:numFmt w:val="decimal"/>
      <w:lvlText w:val="%1.%2.%3.%4.%5."/>
      <w:lvlJc w:val="left"/>
      <w:pPr>
        <w:tabs>
          <w:tab w:val="num" w:pos="0"/>
        </w:tabs>
        <w:ind w:left="3404" w:hanging="1080"/>
      </w:pPr>
      <w:rPr/>
    </w:lvl>
    <w:lvl w:ilvl="5">
      <w:start w:val="1"/>
      <w:isLgl/>
      <w:numFmt w:val="decimal"/>
      <w:lvlText w:val="%1.%2.%3.%4.%5.%6."/>
      <w:lvlJc w:val="left"/>
      <w:pPr>
        <w:tabs>
          <w:tab w:val="num" w:pos="0"/>
        </w:tabs>
        <w:ind w:left="4255" w:hanging="1440"/>
      </w:pPr>
      <w:rPr/>
    </w:lvl>
    <w:lvl w:ilvl="6">
      <w:start w:val="1"/>
      <w:isLgl/>
      <w:numFmt w:val="decimal"/>
      <w:lvlText w:val="%1.%2.%3.%4.%5.%6.%7."/>
      <w:lvlJc w:val="left"/>
      <w:pPr>
        <w:tabs>
          <w:tab w:val="num" w:pos="0"/>
        </w:tabs>
        <w:ind w:left="5106" w:hanging="1800"/>
      </w:pPr>
      <w:rPr/>
    </w:lvl>
    <w:lvl w:ilvl="7">
      <w:start w:val="1"/>
      <w:isLgl/>
      <w:numFmt w:val="decimal"/>
      <w:lvlText w:val="%1.%2.%3.%4.%5.%6.%7.%8."/>
      <w:lvlJc w:val="left"/>
      <w:pPr>
        <w:tabs>
          <w:tab w:val="num" w:pos="0"/>
        </w:tabs>
        <w:ind w:left="5597" w:hanging="1800"/>
      </w:pPr>
      <w:rPr/>
    </w:lvl>
    <w:lvl w:ilvl="8">
      <w:start w:val="1"/>
      <w:isLgl/>
      <w:numFmt w:val="decimal"/>
      <w:lvlText w:val="%1.%2.%3.%4.%5.%6.%7.%8.%9."/>
      <w:lvlJc w:val="left"/>
      <w:pPr>
        <w:tabs>
          <w:tab w:val="num" w:pos="0"/>
        </w:tabs>
        <w:ind w:left="6448" w:hanging="2160"/>
      </w:pPr>
      <w:rPr/>
    </w:lvl>
  </w:abstractNum>
  <w:num w:numId="1">
    <w:abstractNumId w:val="1"/>
  </w:num>
  <w:num w:numId="2">
    <w:abstractNumId w:val="2"/>
  </w:num>
</w:numbering>
</file>

<file path=word/settings.xml><?xml version="1.0" encoding="utf-8"?>
<w:settings xmlns:w="http://schemas.openxmlformats.org/wordprocessingml/2006/main">
  <w:zoom w:percent="10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formatting="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qFormat/>
    <w:rsid w:val="00da6785"/>
    <w:pPr>
      <w:keepNext w:val="true"/>
      <w:keepLines/>
      <w:numPr>
        <w:ilvl w:val="0"/>
        <w:numId w:val="1"/>
      </w:numPr>
      <w:tabs>
        <w:tab w:val="clear" w:pos="708"/>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lineRule="auto" w:line="240" w:before="240" w:after="60"/>
      <w:outlineLvl w:val="0"/>
    </w:pPr>
    <w:rPr>
      <w:rFonts w:ascii="Times New Roman" w:hAnsi="Times New Roman" w:eastAsia="Times New Roman" w:cs="Times New Roman"/>
      <w:b/>
      <w:sz w:val="32"/>
      <w:szCs w:val="44"/>
    </w:rPr>
  </w:style>
  <w:style w:type="paragraph" w:styleId="Heading2">
    <w:name w:val="heading 2"/>
    <w:basedOn w:val="Normal"/>
    <w:next w:val="Normal"/>
    <w:link w:val="2"/>
    <w:qFormat/>
    <w:rsid w:val="00da6785"/>
    <w:pPr>
      <w:keepNext w:val="true"/>
      <w:keepLines/>
      <w:numPr>
        <w:ilvl w:val="1"/>
        <w:numId w:val="1"/>
      </w:numPr>
      <w:tabs>
        <w:tab w:val="clear" w:pos="708"/>
        <w:tab w:val="left" w:pos="284" w:leader="none"/>
        <w:tab w:val="left" w:pos="568" w:leader="none"/>
        <w:tab w:val="left" w:pos="1134" w:leader="none"/>
        <w:tab w:val="left" w:pos="1418" w:leader="none"/>
        <w:tab w:val="left" w:pos="1701" w:leader="none"/>
        <w:tab w:val="left" w:pos="1985" w:leader="none"/>
      </w:tabs>
      <w:suppressAutoHyphens w:val="true"/>
      <w:spacing w:lineRule="auto" w:line="240" w:before="240" w:after="60"/>
      <w:outlineLvl w:val="1"/>
    </w:pPr>
    <w:rPr>
      <w:rFonts w:ascii="Times New Roman" w:hAnsi="Times New Roman" w:eastAsia="Arial Unicode MS" w:cs="Times New Roman"/>
      <w:b/>
      <w:sz w:val="28"/>
      <w:szCs w:val="44"/>
    </w:rPr>
  </w:style>
  <w:style w:type="paragraph" w:styleId="Heading3">
    <w:name w:val="heading 3"/>
    <w:basedOn w:val="Normal"/>
    <w:next w:val="Normal"/>
    <w:link w:val="3"/>
    <w:autoRedefine/>
    <w:qFormat/>
    <w:rsid w:val="00da6785"/>
    <w:pPr>
      <w:keepNext w:val="true"/>
      <w:numPr>
        <w:ilvl w:val="2"/>
        <w:numId w:val="1"/>
      </w:numPr>
      <w:tabs>
        <w:tab w:val="clear" w:pos="708"/>
      </w:tabs>
      <w:spacing w:before="120" w:after="120"/>
      <w:ind w:hanging="720" w:left="720"/>
      <w:jc w:val="both"/>
      <w:outlineLvl w:val="2"/>
    </w:pPr>
    <w:rPr>
      <w:rFonts w:ascii="Arial" w:hAnsi="Arial" w:eastAsia="Times New Roman" w:cs="Arial"/>
      <w:b/>
      <w:sz w:val="24"/>
      <w:szCs w:val="24"/>
    </w:rPr>
  </w:style>
  <w:style w:type="paragraph" w:styleId="Heading4">
    <w:name w:val="heading 4"/>
    <w:basedOn w:val="Normal"/>
    <w:next w:val="Normal"/>
    <w:link w:val="4"/>
    <w:autoRedefine/>
    <w:qFormat/>
    <w:rsid w:val="00da6785"/>
    <w:pPr>
      <w:keepNext w:val="true"/>
      <w:keepLines/>
      <w:numPr>
        <w:ilvl w:val="3"/>
        <w:numId w:val="1"/>
      </w:numPr>
      <w:tabs>
        <w:tab w:val="clear" w:pos="708"/>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lineRule="auto" w:line="240" w:before="240" w:after="60"/>
      <w:outlineLvl w:val="3"/>
    </w:pPr>
    <w:rPr>
      <w:rFonts w:ascii="Times New Roman" w:hAnsi="Times New Roman" w:eastAsia="Times New Roman" w:cs="Times New Roman"/>
      <w:b/>
      <w:sz w:val="26"/>
      <w:szCs w:val="28"/>
    </w:rPr>
  </w:style>
  <w:style w:type="paragraph" w:styleId="Heading5">
    <w:name w:val="heading 5"/>
    <w:basedOn w:val="Normal"/>
    <w:next w:val="Normal"/>
    <w:link w:val="5"/>
    <w:autoRedefine/>
    <w:qFormat/>
    <w:rsid w:val="00da6785"/>
    <w:pPr>
      <w:keepNext w:val="true"/>
      <w:keepLines/>
      <w:numPr>
        <w:ilvl w:val="4"/>
        <w:numId w:val="1"/>
      </w:numPr>
      <w:tabs>
        <w:tab w:val="clear" w:pos="708"/>
        <w:tab w:val="left" w:pos="1" w:leader="none"/>
        <w:tab w:val="left" w:pos="284" w:leader="none"/>
        <w:tab w:val="left" w:pos="851" w:leader="none"/>
        <w:tab w:val="left" w:pos="1134" w:leader="none"/>
        <w:tab w:val="left" w:pos="1418" w:leader="none"/>
        <w:tab w:val="left" w:pos="1701" w:leader="none"/>
        <w:tab w:val="left" w:pos="1985" w:leader="none"/>
      </w:tabs>
      <w:suppressAutoHyphens w:val="true"/>
      <w:spacing w:lineRule="auto" w:line="240" w:before="240" w:after="60"/>
      <w:outlineLvl w:val="4"/>
    </w:pPr>
    <w:rPr>
      <w:rFonts w:ascii="Times New Roman" w:hAnsi="Times New Roman" w:eastAsia="Times New Roman" w:cs="Times New Roman"/>
      <w:b/>
      <w:i/>
      <w:sz w:val="26"/>
      <w:szCs w:val="28"/>
    </w:rPr>
  </w:style>
  <w:style w:type="paragraph" w:styleId="Heading6">
    <w:name w:val="heading 6"/>
    <w:basedOn w:val="Normal"/>
    <w:next w:val="Normal"/>
    <w:link w:val="6"/>
    <w:autoRedefine/>
    <w:qFormat/>
    <w:rsid w:val="00da6785"/>
    <w:pPr>
      <w:keepNext w:val="true"/>
      <w:keepLines/>
      <w:numPr>
        <w:ilvl w:val="5"/>
        <w:numId w:val="1"/>
      </w:numPr>
      <w:tabs>
        <w:tab w:val="clear" w:pos="708"/>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lineRule="auto" w:line="240" w:before="240" w:after="60"/>
      <w:outlineLvl w:val="5"/>
    </w:pPr>
    <w:rPr>
      <w:rFonts w:ascii="Times New Roman" w:hAnsi="Times New Roman" w:eastAsia="Times New Roman" w:cs="Times New Roman"/>
      <w:b/>
      <w:sz w:val="26"/>
      <w:szCs w:val="24"/>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0d788e"/>
    <w:rPr/>
  </w:style>
  <w:style w:type="character" w:styleId="Style9" w:customStyle="1">
    <w:name w:val="Нижний колонтитул Знак"/>
    <w:basedOn w:val="DefaultParagraphFont"/>
    <w:uiPriority w:val="99"/>
    <w:qFormat/>
    <w:rsid w:val="000d788e"/>
    <w:rPr/>
  </w:style>
  <w:style w:type="character" w:styleId="1" w:customStyle="1">
    <w:name w:val="Заголовок 1 Знак"/>
    <w:basedOn w:val="DefaultParagraphFont"/>
    <w:qFormat/>
    <w:rsid w:val="00da6785"/>
    <w:rPr>
      <w:rFonts w:ascii="Times New Roman" w:hAnsi="Times New Roman" w:eastAsia="Times New Roman" w:cs="Times New Roman"/>
      <w:b/>
      <w:sz w:val="32"/>
      <w:szCs w:val="44"/>
    </w:rPr>
  </w:style>
  <w:style w:type="character" w:styleId="2" w:customStyle="1">
    <w:name w:val="Заголовок 2 Знак"/>
    <w:basedOn w:val="DefaultParagraphFont"/>
    <w:qFormat/>
    <w:rsid w:val="00da6785"/>
    <w:rPr>
      <w:rFonts w:ascii="Times New Roman" w:hAnsi="Times New Roman" w:eastAsia="Arial Unicode MS" w:cs="Times New Roman"/>
      <w:b/>
      <w:sz w:val="28"/>
      <w:szCs w:val="44"/>
    </w:rPr>
  </w:style>
  <w:style w:type="character" w:styleId="3" w:customStyle="1">
    <w:name w:val="Заголовок 3 Знак"/>
    <w:basedOn w:val="DefaultParagraphFont"/>
    <w:qFormat/>
    <w:rsid w:val="00da6785"/>
    <w:rPr>
      <w:rFonts w:ascii="Arial" w:hAnsi="Arial" w:eastAsia="Times New Roman" w:cs="Arial"/>
      <w:b/>
      <w:sz w:val="24"/>
      <w:szCs w:val="24"/>
      <w:lang w:eastAsia="ru-RU"/>
    </w:rPr>
  </w:style>
  <w:style w:type="character" w:styleId="4" w:customStyle="1">
    <w:name w:val="Заголовок 4 Знак"/>
    <w:basedOn w:val="DefaultParagraphFont"/>
    <w:qFormat/>
    <w:rsid w:val="00da6785"/>
    <w:rPr>
      <w:rFonts w:ascii="Times New Roman" w:hAnsi="Times New Roman" w:eastAsia="Times New Roman" w:cs="Times New Roman"/>
      <w:b/>
      <w:sz w:val="26"/>
      <w:szCs w:val="28"/>
      <w:lang w:eastAsia="ru-RU"/>
    </w:rPr>
  </w:style>
  <w:style w:type="character" w:styleId="5" w:customStyle="1">
    <w:name w:val="Заголовок 5 Знак"/>
    <w:basedOn w:val="DefaultParagraphFont"/>
    <w:qFormat/>
    <w:rsid w:val="00da6785"/>
    <w:rPr>
      <w:rFonts w:ascii="Times New Roman" w:hAnsi="Times New Roman" w:eastAsia="Times New Roman" w:cs="Times New Roman"/>
      <w:b/>
      <w:i/>
      <w:sz w:val="26"/>
      <w:szCs w:val="28"/>
      <w:lang w:eastAsia="ru-RU"/>
    </w:rPr>
  </w:style>
  <w:style w:type="character" w:styleId="6" w:customStyle="1">
    <w:name w:val="Заголовок 6 Знак"/>
    <w:basedOn w:val="DefaultParagraphFont"/>
    <w:qFormat/>
    <w:rsid w:val="00da6785"/>
    <w:rPr>
      <w:rFonts w:ascii="Times New Roman" w:hAnsi="Times New Roman" w:eastAsia="Times New Roman" w:cs="Times New Roman"/>
      <w:b/>
      <w:sz w:val="26"/>
      <w:szCs w:val="24"/>
      <w:lang w:eastAsia="ru-RU"/>
    </w:rPr>
  </w:style>
  <w:style w:type="character" w:styleId="Style10" w:customStyle="1">
    <w:name w:val="Обычный (тбл) Знак"/>
    <w:basedOn w:val="DefaultParagraphFont"/>
    <w:link w:val="Style19"/>
    <w:qFormat/>
    <w:locked/>
    <w:rsid w:val="00f17566"/>
    <w:rPr>
      <w:rFonts w:ascii="Times New Roman" w:hAnsi="Times New Roman" w:eastAsia="Times New Roman" w:cs="Times New Roman"/>
      <w:bCs/>
      <w:szCs w:val="18"/>
      <w:lang w:eastAsia="ru-RU"/>
    </w:rPr>
  </w:style>
  <w:style w:type="character" w:styleId="Style11" w:customStyle="1">
    <w:name w:val="Схема документа Знак"/>
    <w:basedOn w:val="DefaultParagraphFont"/>
    <w:link w:val="DocumentMap"/>
    <w:uiPriority w:val="99"/>
    <w:semiHidden/>
    <w:qFormat/>
    <w:rsid w:val="008148ca"/>
    <w:rPr>
      <w:rFonts w:ascii="Tahoma" w:hAnsi="Tahoma" w:cs="Tahoma"/>
      <w:sz w:val="16"/>
      <w:szCs w:val="16"/>
    </w:rPr>
  </w:style>
  <w:style w:type="character" w:styleId="CommentReference">
    <w:name w:val="annotation reference"/>
    <w:basedOn w:val="DefaultParagraphFont"/>
    <w:uiPriority w:val="99"/>
    <w:semiHidden/>
    <w:unhideWhenUsed/>
    <w:qFormat/>
    <w:rsid w:val="008148ca"/>
    <w:rPr>
      <w:sz w:val="16"/>
      <w:szCs w:val="16"/>
    </w:rPr>
  </w:style>
  <w:style w:type="character" w:styleId="Style12" w:customStyle="1">
    <w:name w:val="Текст примечания Знак"/>
    <w:basedOn w:val="DefaultParagraphFont"/>
    <w:uiPriority w:val="99"/>
    <w:semiHidden/>
    <w:qFormat/>
    <w:rsid w:val="008148ca"/>
    <w:rPr>
      <w:sz w:val="20"/>
      <w:szCs w:val="20"/>
    </w:rPr>
  </w:style>
  <w:style w:type="character" w:styleId="Style13" w:customStyle="1">
    <w:name w:val="Тема примечания Знак"/>
    <w:basedOn w:val="Style12"/>
    <w:link w:val="annotationsubject"/>
    <w:uiPriority w:val="99"/>
    <w:semiHidden/>
    <w:qFormat/>
    <w:rsid w:val="008148ca"/>
    <w:rPr>
      <w:b/>
      <w:bCs/>
      <w:sz w:val="20"/>
      <w:szCs w:val="20"/>
    </w:rPr>
  </w:style>
  <w:style w:type="character" w:styleId="Style14" w:customStyle="1">
    <w:name w:val="Текст выноски Знак"/>
    <w:basedOn w:val="DefaultParagraphFont"/>
    <w:link w:val="BalloonText"/>
    <w:uiPriority w:val="99"/>
    <w:semiHidden/>
    <w:qFormat/>
    <w:rsid w:val="008148ca"/>
    <w:rPr>
      <w:rFonts w:ascii="Tahoma" w:hAnsi="Tahoma" w:cs="Tahoma"/>
      <w:sz w:val="16"/>
      <w:szCs w:val="16"/>
    </w:rPr>
  </w:style>
  <w:style w:type="character" w:styleId="Hyperlink">
    <w:name w:val="Hyperlink"/>
    <w:basedOn w:val="DefaultParagraphFont"/>
    <w:uiPriority w:val="99"/>
    <w:unhideWhenUsed/>
    <w:rsid w:val="00297e87"/>
    <w:rPr>
      <w:color w:themeColor="hyperlink" w:val="0000FF"/>
      <w:u w:val="single"/>
    </w:rPr>
  </w:style>
  <w:style w:type="character" w:styleId="Style15" w:customStyle="1">
    <w:name w:val="Абзац списка Знак"/>
    <w:link w:val="ListParagraph"/>
    <w:uiPriority w:val="34"/>
    <w:qFormat/>
    <w:locked/>
    <w:rsid w:val="00bb0d90"/>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unhideWhenUsed/>
    <w:qFormat/>
    <w:rsid w:val="00bb0d90"/>
    <w:pPr>
      <w:spacing w:lineRule="auto" w:line="240"/>
    </w:pPr>
    <w:rPr>
      <w:b/>
      <w:bCs/>
      <w:color w:themeColor="accent1" w:val="4F81BD"/>
      <w:sz w:val="18"/>
      <w:szCs w:val="18"/>
    </w:rPr>
  </w:style>
  <w:style w:type="paragraph" w:styleId="Style17">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8"/>
    <w:uiPriority w:val="99"/>
    <w:unhideWhenUsed/>
    <w:rsid w:val="000d788e"/>
    <w:pPr>
      <w:tabs>
        <w:tab w:val="clear" w:pos="708"/>
        <w:tab w:val="center" w:pos="4677" w:leader="none"/>
        <w:tab w:val="right" w:pos="9355" w:leader="none"/>
      </w:tabs>
      <w:spacing w:lineRule="auto" w:line="240" w:before="0" w:after="0"/>
    </w:pPr>
    <w:rPr/>
  </w:style>
  <w:style w:type="paragraph" w:styleId="Footer">
    <w:name w:val="footer"/>
    <w:basedOn w:val="Normal"/>
    <w:link w:val="Style9"/>
    <w:uiPriority w:val="99"/>
    <w:unhideWhenUsed/>
    <w:rsid w:val="000d788e"/>
    <w:pPr>
      <w:tabs>
        <w:tab w:val="clear" w:pos="708"/>
        <w:tab w:val="center" w:pos="4677" w:leader="none"/>
        <w:tab w:val="right" w:pos="9355" w:leader="none"/>
      </w:tabs>
      <w:spacing w:lineRule="auto" w:line="240" w:before="0" w:after="0"/>
    </w:pPr>
    <w:rPr/>
  </w:style>
  <w:style w:type="paragraph" w:styleId="ListParagraph">
    <w:name w:val="List Paragraph"/>
    <w:basedOn w:val="Normal"/>
    <w:link w:val="Style15"/>
    <w:uiPriority w:val="34"/>
    <w:qFormat/>
    <w:rsid w:val="000d788e"/>
    <w:pPr>
      <w:spacing w:before="0" w:after="200"/>
      <w:ind w:left="720"/>
      <w:contextualSpacing/>
    </w:pPr>
    <w:rPr/>
  </w:style>
  <w:style w:type="paragraph" w:styleId="Style18" w:customStyle="1">
    <w:name w:val="Шапка таблицы"/>
    <w:basedOn w:val="Normal"/>
    <w:qFormat/>
    <w:rsid w:val="00f17566"/>
    <w:pPr>
      <w:keepNext w:val="true"/>
      <w:spacing w:lineRule="auto" w:line="240" w:before="60" w:after="80"/>
    </w:pPr>
    <w:rPr>
      <w:rFonts w:ascii="Times New Roman" w:hAnsi="Times New Roman" w:eastAsia="Times New Roman" w:cs="Times New Roman"/>
      <w:b/>
      <w:bCs/>
      <w:szCs w:val="18"/>
    </w:rPr>
  </w:style>
  <w:style w:type="paragraph" w:styleId="Style19" w:customStyle="1">
    <w:name w:val="Обычный (тбл)"/>
    <w:basedOn w:val="Normal"/>
    <w:link w:val="Style10"/>
    <w:qFormat/>
    <w:rsid w:val="00f17566"/>
    <w:pPr>
      <w:spacing w:lineRule="auto" w:line="240" w:before="40" w:after="80"/>
    </w:pPr>
    <w:rPr>
      <w:rFonts w:ascii="Times New Roman" w:hAnsi="Times New Roman" w:eastAsia="Times New Roman" w:cs="Times New Roman"/>
      <w:bCs/>
      <w:szCs w:val="18"/>
    </w:rPr>
  </w:style>
  <w:style w:type="paragraph" w:styleId="DocumentMap">
    <w:name w:val="Document Map"/>
    <w:basedOn w:val="Normal"/>
    <w:link w:val="Style11"/>
    <w:uiPriority w:val="99"/>
    <w:semiHidden/>
    <w:unhideWhenUsed/>
    <w:qFormat/>
    <w:rsid w:val="008148ca"/>
    <w:pPr>
      <w:spacing w:lineRule="auto" w:line="240" w:before="0" w:after="0"/>
    </w:pPr>
    <w:rPr>
      <w:rFonts w:ascii="Tahoma" w:hAnsi="Tahoma" w:cs="Tahoma"/>
      <w:sz w:val="16"/>
      <w:szCs w:val="16"/>
    </w:rPr>
  </w:style>
  <w:style w:type="paragraph" w:styleId="CommentText">
    <w:name w:val="annotation text"/>
    <w:basedOn w:val="Normal"/>
    <w:link w:val="Style12"/>
    <w:uiPriority w:val="99"/>
    <w:semiHidden/>
    <w:unhideWhenUsed/>
    <w:rsid w:val="008148ca"/>
    <w:pPr>
      <w:spacing w:lineRule="auto" w:line="240"/>
    </w:pPr>
    <w:rPr>
      <w:sz w:val="20"/>
      <w:szCs w:val="20"/>
    </w:rPr>
  </w:style>
  <w:style w:type="paragraph" w:styleId="annotationsubject">
    <w:name w:val="annotation subject"/>
    <w:basedOn w:val="CommentText"/>
    <w:next w:val="CommentText"/>
    <w:link w:val="Style13"/>
    <w:uiPriority w:val="99"/>
    <w:semiHidden/>
    <w:unhideWhenUsed/>
    <w:qFormat/>
    <w:rsid w:val="008148ca"/>
    <w:pPr/>
    <w:rPr>
      <w:b/>
      <w:bCs/>
    </w:rPr>
  </w:style>
  <w:style w:type="paragraph" w:styleId="BalloonText">
    <w:name w:val="Balloon Text"/>
    <w:basedOn w:val="Normal"/>
    <w:link w:val="Style14"/>
    <w:uiPriority w:val="99"/>
    <w:semiHidden/>
    <w:unhideWhenUsed/>
    <w:qFormat/>
    <w:rsid w:val="008148ca"/>
    <w:pPr>
      <w:spacing w:lineRule="auto" w:line="240" w:before="0" w:after="0"/>
    </w:pPr>
    <w:rPr>
      <w:rFonts w:ascii="Tahoma" w:hAnsi="Tahoma" w:cs="Tahoma"/>
      <w:sz w:val="16"/>
      <w:szCs w:val="16"/>
    </w:rPr>
  </w:style>
  <w:style w:type="paragraph" w:styleId="IndexHeading">
    <w:name w:val="index heading"/>
    <w:basedOn w:val="Style16"/>
    <w:pPr/>
    <w:rPr/>
  </w:style>
  <w:style w:type="paragraph" w:styleId="TOCHeading">
    <w:name w:val="TOC Heading"/>
    <w:basedOn w:val="Heading1"/>
    <w:next w:val="Normal"/>
    <w:uiPriority w:val="39"/>
    <w:unhideWhenUsed/>
    <w:qFormat/>
    <w:rsid w:val="00297e87"/>
    <w:pPr>
      <w:numPr>
        <w:ilvl w:val="0"/>
        <w:numId w:val="0"/>
      </w:numPr>
      <w:tabs>
        <w:tab w:val="clear" w:pos="1"/>
        <w:tab w:val="clear" w:pos="284"/>
        <w:tab w:val="clear" w:pos="568"/>
        <w:tab w:val="clear" w:pos="851"/>
        <w:tab w:val="clear" w:pos="1134"/>
        <w:tab w:val="clear" w:pos="1418"/>
        <w:tab w:val="clear" w:pos="1701"/>
        <w:tab w:val="clear" w:pos="1985"/>
      </w:tabs>
      <w:suppressAutoHyphens w:val="false"/>
      <w:spacing w:lineRule="auto" w:line="276" w:before="480" w:after="0"/>
      <w:outlineLvl w:val="9"/>
    </w:pPr>
    <w:rPr>
      <w:rFonts w:ascii="Cambria" w:hAnsi="Cambria" w:eastAsia="" w:cs="" w:asciiTheme="majorHAnsi" w:cstheme="majorBidi" w:eastAsiaTheme="majorEastAsia" w:hAnsiTheme="majorHAnsi"/>
      <w:bCs/>
      <w:color w:themeColor="accent1" w:themeShade="bf" w:val="365F91"/>
      <w:sz w:val="28"/>
      <w:szCs w:val="28"/>
      <w:lang w:eastAsia="en-US"/>
    </w:rPr>
  </w:style>
  <w:style w:type="paragraph" w:styleId="TOC1">
    <w:name w:val="toc 1"/>
    <w:basedOn w:val="Normal"/>
    <w:next w:val="Normal"/>
    <w:autoRedefine/>
    <w:uiPriority w:val="39"/>
    <w:unhideWhenUsed/>
    <w:rsid w:val="00297e87"/>
    <w:pPr>
      <w:spacing w:before="0" w:after="100"/>
    </w:pPr>
    <w:rPr/>
  </w:style>
  <w:style w:type="paragraph" w:styleId="TOC2">
    <w:name w:val="toc 2"/>
    <w:basedOn w:val="Normal"/>
    <w:next w:val="Normal"/>
    <w:autoRedefine/>
    <w:uiPriority w:val="39"/>
    <w:unhideWhenUsed/>
    <w:rsid w:val="00297e87"/>
    <w:pPr>
      <w:spacing w:before="0" w:after="100"/>
      <w:ind w:left="220"/>
    </w:pPr>
    <w:rPr/>
  </w:style>
  <w:style w:type="paragraph" w:styleId="Style20" w:customStyle="1">
    <w:name w:val="Таблица"/>
    <w:basedOn w:val="Normal"/>
    <w:qFormat/>
    <w:rsid w:val="00bb0d90"/>
    <w:pPr>
      <w:spacing w:lineRule="auto" w:line="240" w:before="60" w:after="60"/>
    </w:pPr>
    <w:rPr>
      <w:rFonts w:ascii="Times New Roman" w:hAnsi="Times New Roman" w:eastAsia="Times New Roman" w:cs="Times New Roman"/>
      <w:color w:val="000000"/>
      <w:sz w:val="24"/>
      <w:szCs w:val="24"/>
    </w:rPr>
  </w:style>
  <w:style w:type="paragraph" w:styleId="Style21" w:customStyle="1">
    <w:name w:val="Табл. текст по левому краю"/>
    <w:basedOn w:val="Normal"/>
    <w:qFormat/>
    <w:rsid w:val="00bb0d90"/>
    <w:pPr>
      <w:spacing w:lineRule="auto" w:line="240" w:before="60" w:after="60"/>
    </w:pPr>
    <w:rPr>
      <w:rFonts w:ascii="Times New Roman" w:hAnsi="Times New Roman" w:eastAsia="Times New Roman" w:cs="Times New Roman"/>
      <w:color w:val="000000"/>
      <w:sz w:val="24"/>
      <w:szCs w:val="24"/>
    </w:rPr>
  </w:style>
  <w:style w:type="paragraph" w:styleId="Revision">
    <w:name w:val="Revision"/>
    <w:uiPriority w:val="99"/>
    <w:semiHidden/>
    <w:qFormat/>
    <w:rsid w:val="0032222b"/>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1">
    <w:name w:val="1"/>
    <w:basedOn w:val="Normal"/>
    <w:next w:val="Normal"/>
    <w:link w:val="1"/>
    <w:qFormat/>
    <w:rsid w:val="00da6785"/>
    <w:pPr>
      <w:keepNext w:val="true"/>
      <w:keepLines/>
      <w:tabs>
        <w:tab w:val="clear" w:pos="708"/>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lineRule="auto" w:line="240" w:before="240" w:after="60"/>
      <w:outlineLvl w:val="0"/>
    </w:pPr>
    <w:rPr>
      <w:rFonts w:ascii="Times New Roman" w:hAnsi="Times New Roman" w:eastAsia="Times New Roman" w:cs="Times New Roman"/>
      <w:b/>
      <w:sz w:val="32"/>
      <w:szCs w:val="44"/>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59"/>
    <w:rsid w:val="00bb0d9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27DF6-320C-4741-9DEB-5381B48B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LibreOffice/24.8.4.2$Linux_X86_64 LibreOffice_project/480$Build-2</Application>
  <AppVersion>15.0000</AppVersion>
  <Pages>8</Pages>
  <Words>1326</Words>
  <Characters>9539</Characters>
  <CharactersWithSpaces>10612</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2016-09-22T14:47:00Z</dcterms:created>
  <dc:creator>molchanova;Саламадина Дарья Олеговна</dc:creator>
  <dc:description/>
  <dc:language>ru-RU</dc:language>
  <cp:lastModifiedBy/>
  <cp:lastPrinted>2016-10-07T13:49:00Z</cp:lastPrinted>
  <dcterms:modified xsi:type="dcterms:W3CDTF">2025-10-24T13:43:54Z</dcterms:modified>
  <cp:revision>54</cp:revision>
  <dc:subject/>
  <dc:title>Технический регламент проведения итогового сочинения (изложения)_</dc:title>
</cp:coreProperties>
</file>

<file path=docProps/custom.xml><?xml version="1.0" encoding="utf-8"?>
<Properties xmlns="http://schemas.openxmlformats.org/officeDocument/2006/custom-properties" xmlns:vt="http://schemas.openxmlformats.org/officeDocument/2006/docPropsVTypes"/>
</file>