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94C" w:rsidRPr="00AE0028" w:rsidRDefault="00B2294C" w:rsidP="00B2294C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0028">
        <w:rPr>
          <w:rFonts w:ascii="Times New Roman" w:hAnsi="Times New Roman" w:cs="Times New Roman"/>
          <w:sz w:val="28"/>
          <w:szCs w:val="28"/>
        </w:rPr>
        <w:t>Россияне стали чаще ставить земельные участки на кадастровый учет</w:t>
      </w:r>
    </w:p>
    <w:p w:rsidR="00B2294C" w:rsidRPr="00AE0028" w:rsidRDefault="00B2294C" w:rsidP="00B2294C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итогам 2019 года </w:t>
      </w:r>
      <w:r w:rsidRPr="00AE0028">
        <w:rPr>
          <w:rFonts w:ascii="Times New Roman" w:hAnsi="Times New Roman" w:cs="Times New Roman"/>
          <w:i/>
          <w:sz w:val="28"/>
          <w:szCs w:val="28"/>
        </w:rPr>
        <w:t>количество земельных участков, поставленных на кадастровый учет</w:t>
      </w:r>
      <w:r>
        <w:rPr>
          <w:rFonts w:ascii="Times New Roman" w:hAnsi="Times New Roman" w:cs="Times New Roman"/>
          <w:i/>
          <w:sz w:val="28"/>
          <w:szCs w:val="28"/>
        </w:rPr>
        <w:t xml:space="preserve">, увеличилось более чем </w:t>
      </w:r>
      <w:r w:rsidRPr="00AE0028">
        <w:rPr>
          <w:rFonts w:ascii="Times New Roman" w:hAnsi="Times New Roman" w:cs="Times New Roman"/>
          <w:i/>
          <w:sz w:val="28"/>
          <w:szCs w:val="28"/>
        </w:rPr>
        <w:t>на 1,1 м</w:t>
      </w:r>
      <w:r>
        <w:rPr>
          <w:rFonts w:ascii="Times New Roman" w:hAnsi="Times New Roman" w:cs="Times New Roman"/>
          <w:i/>
          <w:sz w:val="28"/>
          <w:szCs w:val="28"/>
        </w:rPr>
        <w:t>иллиона.</w:t>
      </w:r>
    </w:p>
    <w:p w:rsidR="00B2294C" w:rsidRPr="00334FB6" w:rsidRDefault="00B2294C" w:rsidP="00B2294C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FB6">
        <w:rPr>
          <w:rFonts w:ascii="Times New Roman" w:hAnsi="Times New Roman" w:cs="Times New Roman"/>
          <w:b/>
          <w:sz w:val="28"/>
          <w:szCs w:val="28"/>
        </w:rPr>
        <w:t xml:space="preserve">На 1 января 2020 года в Едином государственном реестре недвижимости содержатся сведения о 60,6 млн земельных участков, из них 17,1 млн поставлены на кадастровый учет. За прошлый год количество учтенных земельных участков увеличилось более чем на 1,1 млн. </w:t>
      </w:r>
      <w:r>
        <w:rPr>
          <w:rFonts w:ascii="Times New Roman" w:hAnsi="Times New Roman" w:cs="Times New Roman"/>
          <w:b/>
          <w:sz w:val="28"/>
          <w:szCs w:val="28"/>
        </w:rPr>
        <w:t xml:space="preserve">К началу 2020 года </w:t>
      </w:r>
      <w:r w:rsidRPr="00222CBF">
        <w:rPr>
          <w:rFonts w:ascii="Times New Roman" w:hAnsi="Times New Roman" w:cs="Times New Roman"/>
          <w:b/>
          <w:sz w:val="28"/>
          <w:szCs w:val="28"/>
        </w:rPr>
        <w:t>доля земельных участков, сведения о кадастровом учете которых содержатся в ЕГРН, составила 28 %.</w:t>
      </w:r>
    </w:p>
    <w:p w:rsidR="00B2294C" w:rsidRDefault="00B2294C" w:rsidP="00B2294C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673">
        <w:rPr>
          <w:rFonts w:ascii="Times New Roman" w:hAnsi="Times New Roman" w:cs="Times New Roman"/>
          <w:sz w:val="28"/>
          <w:szCs w:val="28"/>
        </w:rPr>
        <w:t xml:space="preserve">Действующее законодательство не обязывает граждан </w:t>
      </w:r>
      <w:r>
        <w:rPr>
          <w:rFonts w:ascii="Times New Roman" w:hAnsi="Times New Roman" w:cs="Times New Roman"/>
          <w:sz w:val="28"/>
          <w:szCs w:val="28"/>
        </w:rPr>
        <w:t xml:space="preserve">ставить на </w:t>
      </w:r>
      <w:r w:rsidRPr="006616A3">
        <w:rPr>
          <w:rFonts w:ascii="Times New Roman" w:hAnsi="Times New Roman" w:cs="Times New Roman"/>
          <w:sz w:val="28"/>
          <w:szCs w:val="28"/>
        </w:rPr>
        <w:t xml:space="preserve">кадастровый учет принадлежащие им земельные участки. Тем не менее, в прошлом году число поставленных на кадастровый учет земельных участков увеличилось на 1 143 465. Прирост учтенных земельных наделов по данным ЕГРН в 2019 году составил 7%. На 1 января 2020 года доля земельных участков, </w:t>
      </w:r>
      <w:proofErr w:type="gramStart"/>
      <w:r w:rsidRPr="006616A3"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 w:rsidRPr="006616A3">
        <w:rPr>
          <w:rFonts w:ascii="Times New Roman" w:hAnsi="Times New Roman" w:cs="Times New Roman"/>
          <w:sz w:val="28"/>
          <w:szCs w:val="28"/>
        </w:rPr>
        <w:t xml:space="preserve"> о кадастровом учете которых содержатся в ЕГРН, составила 28 %. Всего в ЕГРН содержатся сведения о 60 579 053 земельных участков.</w:t>
      </w:r>
    </w:p>
    <w:p w:rsidR="000D6382" w:rsidRPr="006770D7" w:rsidRDefault="000D6382" w:rsidP="00B2294C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0D7">
        <w:rPr>
          <w:rFonts w:ascii="Times New Roman" w:hAnsi="Times New Roman" w:cs="Times New Roman"/>
          <w:sz w:val="28"/>
          <w:szCs w:val="28"/>
        </w:rPr>
        <w:t>В Республике Карелия по состоянию</w:t>
      </w:r>
      <w:r w:rsidR="006770D7">
        <w:rPr>
          <w:rFonts w:ascii="Times New Roman" w:hAnsi="Times New Roman" w:cs="Times New Roman"/>
          <w:sz w:val="28"/>
          <w:szCs w:val="28"/>
        </w:rPr>
        <w:t xml:space="preserve"> на</w:t>
      </w:r>
      <w:r w:rsidRPr="006770D7">
        <w:rPr>
          <w:rFonts w:ascii="Times New Roman" w:hAnsi="Times New Roman" w:cs="Times New Roman"/>
          <w:sz w:val="28"/>
          <w:szCs w:val="28"/>
        </w:rPr>
        <w:t xml:space="preserve"> 1 января 2020 года учтено в ЕГРН </w:t>
      </w:r>
      <w:r w:rsidR="006770D7" w:rsidRPr="006770D7">
        <w:rPr>
          <w:rFonts w:ascii="Times New Roman" w:hAnsi="Times New Roman" w:cs="Times New Roman"/>
          <w:sz w:val="28"/>
          <w:szCs w:val="28"/>
        </w:rPr>
        <w:t xml:space="preserve">234 тыс. </w:t>
      </w:r>
      <w:r w:rsidRPr="006770D7">
        <w:rPr>
          <w:rFonts w:ascii="Times New Roman" w:hAnsi="Times New Roman" w:cs="Times New Roman"/>
          <w:sz w:val="28"/>
          <w:szCs w:val="28"/>
        </w:rPr>
        <w:t>земельных участк</w:t>
      </w:r>
      <w:r w:rsidR="006770D7" w:rsidRPr="006770D7">
        <w:rPr>
          <w:rFonts w:ascii="Times New Roman" w:hAnsi="Times New Roman" w:cs="Times New Roman"/>
          <w:sz w:val="28"/>
          <w:szCs w:val="28"/>
        </w:rPr>
        <w:t>ов</w:t>
      </w:r>
      <w:r w:rsidR="006770D7">
        <w:rPr>
          <w:rFonts w:ascii="Times New Roman" w:hAnsi="Times New Roman" w:cs="Times New Roman"/>
          <w:sz w:val="28"/>
          <w:szCs w:val="28"/>
        </w:rPr>
        <w:t>.</w:t>
      </w:r>
    </w:p>
    <w:p w:rsidR="00B2294C" w:rsidRDefault="00B2294C" w:rsidP="00B2294C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6A3">
        <w:rPr>
          <w:rFonts w:ascii="Times New Roman" w:hAnsi="Times New Roman" w:cs="Times New Roman"/>
          <w:sz w:val="28"/>
          <w:szCs w:val="28"/>
        </w:rPr>
        <w:t>Лидерами в рейтинге роста числа учтенных земельных участков по итогам прошлого года стали город Севастополь (51 %), Республика Крым (33 %), Ханты-Мансийский АО (19</w:t>
      </w:r>
      <w:r w:rsidR="00CE74B9">
        <w:rPr>
          <w:rFonts w:ascii="Times New Roman" w:hAnsi="Times New Roman" w:cs="Times New Roman"/>
          <w:sz w:val="28"/>
          <w:szCs w:val="28"/>
        </w:rPr>
        <w:t xml:space="preserve"> </w:t>
      </w:r>
      <w:r w:rsidRPr="006616A3">
        <w:rPr>
          <w:rFonts w:ascii="Times New Roman" w:hAnsi="Times New Roman" w:cs="Times New Roman"/>
          <w:sz w:val="28"/>
          <w:szCs w:val="28"/>
        </w:rPr>
        <w:t>%), Республика Дагестан (14 %), Магаданская область (13 %), Забайкальский край (13 %),</w:t>
      </w:r>
      <w:r>
        <w:rPr>
          <w:rFonts w:ascii="Times New Roman" w:hAnsi="Times New Roman" w:cs="Times New Roman"/>
          <w:sz w:val="28"/>
          <w:szCs w:val="28"/>
        </w:rPr>
        <w:t xml:space="preserve"> республики Калмыкия, Карачаево-Черкессия, Тыва (12 %), Астраханская и Волгоградская области (12 %).</w:t>
      </w:r>
    </w:p>
    <w:p w:rsidR="00B2294C" w:rsidRPr="00B256F0" w:rsidRDefault="00B2294C" w:rsidP="00B2294C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Наибольшая доля земельных участков, сведения о кадастровом учете которых содержатся в ЕГРН, принадлежит Ямало-Ненецкому автономному </w:t>
      </w:r>
      <w:r>
        <w:rPr>
          <w:rFonts w:ascii="Times New Roman" w:hAnsi="Times New Roman" w:cs="Times New Roman"/>
          <w:sz w:val="28"/>
          <w:szCs w:val="28"/>
        </w:rPr>
        <w:lastRenderedPageBreak/>
        <w:t>округу (72 %), Республике Алтай (54 %), Санкт-Петербургу (54 %), Иркутской области (50 %).</w:t>
      </w:r>
    </w:p>
    <w:p w:rsidR="00B2294C" w:rsidRDefault="00B2294C" w:rsidP="00B2294C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число регионов с наименьшей долей учтенных земельный участков в ЕГРН по состоянию на 1 января 2020 года вошли Брянская, Костромская и Ульяновская области (17 %), Ставропольский край (16 %), Ивановская и Кировская области (16 %).</w:t>
      </w:r>
    </w:p>
    <w:p w:rsidR="00B2294C" w:rsidRDefault="00B2294C" w:rsidP="00B2294C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6A8">
        <w:rPr>
          <w:rFonts w:ascii="Times New Roman" w:hAnsi="Times New Roman" w:cs="Times New Roman"/>
          <w:sz w:val="28"/>
          <w:szCs w:val="28"/>
        </w:rPr>
        <w:t xml:space="preserve">В результате постановки </w:t>
      </w:r>
      <w:r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Pr="002476A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кадастровый учет в</w:t>
      </w:r>
      <w:r w:rsidRPr="002476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ЕГРН вносятся сведения о границах участка, категории земель, к которым отнесен земельный участок, виде разрешенного использования. Каждому учтенному земельному участку присваивается уникальный</w:t>
      </w:r>
      <w:r w:rsidRPr="007A5533">
        <w:rPr>
          <w:rFonts w:ascii="Times New Roman" w:hAnsi="Times New Roman" w:cs="Times New Roman"/>
          <w:sz w:val="28"/>
          <w:szCs w:val="28"/>
        </w:rPr>
        <w:t xml:space="preserve"> кадастровый номер, который позволяет идентифицировать объект и </w:t>
      </w:r>
      <w:r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Pr="007A5533">
        <w:rPr>
          <w:rFonts w:ascii="Times New Roman" w:hAnsi="Times New Roman" w:cs="Times New Roman"/>
          <w:sz w:val="28"/>
          <w:szCs w:val="28"/>
        </w:rPr>
        <w:t>проводить с ним различные операции</w:t>
      </w:r>
      <w:r>
        <w:rPr>
          <w:rFonts w:ascii="Times New Roman" w:hAnsi="Times New Roman" w:cs="Times New Roman"/>
          <w:sz w:val="28"/>
          <w:szCs w:val="28"/>
        </w:rPr>
        <w:t xml:space="preserve"> и сделки как с индивидуально-определенной вещью</w:t>
      </w:r>
      <w:r w:rsidRPr="007A55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Наличие в ЕГРН сведений о земельном участке позволяет защитить интересы владельца в случае земельных споров, а также правильно рассчитать налог на недвижимое имущество. </w:t>
      </w:r>
    </w:p>
    <w:p w:rsidR="00B2294C" w:rsidRDefault="00B2294C" w:rsidP="00B2294C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Кадастровая палата напоминает, что постановка недвижимости на кадастровый учет пров</w:t>
      </w:r>
      <w:r w:rsidR="00D5458A">
        <w:rPr>
          <w:rFonts w:ascii="Times New Roman" w:hAnsi="Times New Roman" w:cs="Times New Roman"/>
          <w:sz w:val="28"/>
          <w:szCs w:val="28"/>
        </w:rPr>
        <w:t>одится на безвозмездной основе.</w:t>
      </w:r>
    </w:p>
    <w:p w:rsidR="00B2294C" w:rsidRDefault="00B2294C" w:rsidP="00B2294C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образовании нового земельного участка необходимо сначала обратиться в местный орган власти, уполномоченный на принятие решения о предоставлении земельного участка в собственность, для получения соответствующего правового акта. Далее заказать у кадастрового инженера межевой план. Готовый межевой план вместе с заявлением можно подать в ближайшем офисе МФЦ или дистанционно – с помощью специализированных электронных </w:t>
      </w:r>
      <w:hyperlink r:id="rId5" w:history="1">
        <w:r w:rsidRPr="005A4205">
          <w:rPr>
            <w:rStyle w:val="a6"/>
            <w:rFonts w:ascii="Times New Roman" w:hAnsi="Times New Roman" w:cs="Times New Roman"/>
            <w:sz w:val="28"/>
            <w:szCs w:val="28"/>
          </w:rPr>
          <w:t>сервисов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294C" w:rsidRPr="00D5458A" w:rsidRDefault="00B2294C" w:rsidP="00D5458A">
      <w:pPr>
        <w:spacing w:after="100" w:afterAutospacing="1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Срок проведения учетной процедуры при обращении в МФЦ составит не более 7 рабочих дней, при подаче документов в электронном виде – 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более 5 рабочих дней. В прошлом году средний фактический срок государственного кадастрового учета составил </w:t>
      </w:r>
      <w:hyperlink r:id="rId6" w:history="1">
        <w:r w:rsidRPr="00DF0F84">
          <w:rPr>
            <w:rStyle w:val="a6"/>
            <w:rFonts w:ascii="Times New Roman" w:hAnsi="Times New Roman" w:cs="Times New Roman"/>
            <w:sz w:val="28"/>
            <w:szCs w:val="28"/>
          </w:rPr>
          <w:t>4 дня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B2294C" w:rsidRDefault="00B2294C" w:rsidP="00D5458A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Завершающей процедурой в оформлении образованного земельного участка является регистрация. После получения права собственности владелец может распоряжаться принадлежащим ему земельным участком в полной мере. Регистрация права собственности при обращении в МФЦ проводится в срок, не превышающий 9 рабочих дней, в случае предоставления электронных документов с помощью сервисов – не дольше 7 рабочих дней. За проведение регистрации права собственности предусмотрена государственная пошлина.</w:t>
      </w:r>
    </w:p>
    <w:p w:rsidR="00B2294C" w:rsidRPr="00097673" w:rsidRDefault="00B2294C" w:rsidP="00B2294C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Постановка нового земельного участка на кадастровый учет может проводиться одновременно с регистрацией права собственности в рамках единой учетно-регистрационной процедуры, в случае, если это предусмотрено законодательством. Например, если земельный участок образован в результате раздела существующего земельного участка. Срок единой учетно-регистрационной процедуры в этом случае составит не более 12 рабочих дней при подаче документов через МФЦ и не более 10 рабочих дней при использовании электронных сервисов. </w:t>
      </w:r>
    </w:p>
    <w:p w:rsidR="00390678" w:rsidRDefault="00B2294C" w:rsidP="00022245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Завершение учетно-регистрационных процедур </w:t>
      </w:r>
      <w:r w:rsidR="00157CD4">
        <w:rPr>
          <w:rFonts w:ascii="Times New Roman" w:hAnsi="Times New Roman" w:cs="Times New Roman"/>
          <w:sz w:val="28"/>
          <w:szCs w:val="28"/>
        </w:rPr>
        <w:t>удостоверя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57CD4">
        <w:rPr>
          <w:rFonts w:ascii="Times New Roman" w:hAnsi="Times New Roman" w:cs="Times New Roman"/>
          <w:sz w:val="28"/>
          <w:szCs w:val="28"/>
        </w:rPr>
        <w:t xml:space="preserve">тся выпиской из ЕГРН. </w:t>
      </w:r>
      <w:r w:rsidR="00390678">
        <w:rPr>
          <w:rFonts w:ascii="Times New Roman" w:hAnsi="Times New Roman" w:cs="Times New Roman"/>
          <w:sz w:val="28"/>
          <w:szCs w:val="28"/>
        </w:rPr>
        <w:t xml:space="preserve">Выписка сведений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госреестра</w:t>
      </w:r>
      <w:proofErr w:type="spellEnd"/>
      <w:r w:rsidR="00390678">
        <w:rPr>
          <w:rFonts w:ascii="Times New Roman" w:hAnsi="Times New Roman" w:cs="Times New Roman"/>
          <w:sz w:val="28"/>
          <w:szCs w:val="28"/>
        </w:rPr>
        <w:t xml:space="preserve"> необходима при проведении любых сделок с недвижимым имуществом. </w:t>
      </w:r>
      <w:r w:rsidR="00BC2F49">
        <w:rPr>
          <w:rFonts w:ascii="Times New Roman" w:hAnsi="Times New Roman" w:cs="Times New Roman"/>
          <w:sz w:val="28"/>
          <w:szCs w:val="28"/>
        </w:rPr>
        <w:t>С помощью н</w:t>
      </w:r>
      <w:r w:rsidR="009969AF">
        <w:rPr>
          <w:rFonts w:ascii="Times New Roman" w:hAnsi="Times New Roman" w:cs="Times New Roman"/>
          <w:sz w:val="28"/>
          <w:szCs w:val="28"/>
        </w:rPr>
        <w:t>ов</w:t>
      </w:r>
      <w:r w:rsidR="00BC2F49">
        <w:rPr>
          <w:rFonts w:ascii="Times New Roman" w:hAnsi="Times New Roman" w:cs="Times New Roman"/>
          <w:sz w:val="28"/>
          <w:szCs w:val="28"/>
        </w:rPr>
        <w:t>ого</w:t>
      </w:r>
      <w:r w:rsidR="009969A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9969AF" w:rsidRPr="009969AF">
          <w:rPr>
            <w:rStyle w:val="a6"/>
            <w:rFonts w:ascii="Times New Roman" w:hAnsi="Times New Roman" w:cs="Times New Roman"/>
            <w:sz w:val="28"/>
            <w:szCs w:val="28"/>
          </w:rPr>
          <w:t>онлайн-серви</w:t>
        </w:r>
        <w:r w:rsidR="00BC2F49">
          <w:rPr>
            <w:rStyle w:val="a6"/>
            <w:rFonts w:ascii="Times New Roman" w:hAnsi="Times New Roman" w:cs="Times New Roman"/>
            <w:sz w:val="28"/>
            <w:szCs w:val="28"/>
          </w:rPr>
          <w:t>са</w:t>
        </w:r>
      </w:hyperlink>
      <w:r w:rsidR="00BC2F49">
        <w:rPr>
          <w:rFonts w:ascii="Times New Roman" w:hAnsi="Times New Roman" w:cs="Times New Roman"/>
          <w:sz w:val="28"/>
          <w:szCs w:val="28"/>
        </w:rPr>
        <w:t xml:space="preserve"> Федеральной к</w:t>
      </w:r>
      <w:r w:rsidR="009969AF">
        <w:rPr>
          <w:rFonts w:ascii="Times New Roman" w:hAnsi="Times New Roman" w:cs="Times New Roman"/>
          <w:sz w:val="28"/>
          <w:szCs w:val="28"/>
        </w:rPr>
        <w:t xml:space="preserve">адастровой палаты выписку сведений об объекте </w:t>
      </w:r>
      <w:r w:rsidR="00A01640">
        <w:rPr>
          <w:rFonts w:ascii="Times New Roman" w:hAnsi="Times New Roman" w:cs="Times New Roman"/>
          <w:sz w:val="28"/>
          <w:szCs w:val="28"/>
        </w:rPr>
        <w:t xml:space="preserve">недвижимости </w:t>
      </w:r>
      <w:r w:rsidR="00BC2F49">
        <w:rPr>
          <w:rFonts w:ascii="Times New Roman" w:hAnsi="Times New Roman" w:cs="Times New Roman"/>
          <w:sz w:val="28"/>
          <w:szCs w:val="28"/>
        </w:rPr>
        <w:t xml:space="preserve">можно получить </w:t>
      </w:r>
      <w:r w:rsidR="009969AF">
        <w:rPr>
          <w:rFonts w:ascii="Times New Roman" w:hAnsi="Times New Roman" w:cs="Times New Roman"/>
          <w:sz w:val="28"/>
          <w:szCs w:val="28"/>
        </w:rPr>
        <w:t>всего за несколько минут.</w:t>
      </w:r>
    </w:p>
    <w:p w:rsidR="0062119B" w:rsidRPr="00AE0028" w:rsidRDefault="0062119B" w:rsidP="00FD0C0D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2119B" w:rsidRPr="00AE0028" w:rsidSect="00E50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F50"/>
    <w:rsid w:val="00022245"/>
    <w:rsid w:val="00044C04"/>
    <w:rsid w:val="00097673"/>
    <w:rsid w:val="000D21C4"/>
    <w:rsid w:val="000D6382"/>
    <w:rsid w:val="00106A17"/>
    <w:rsid w:val="0012380D"/>
    <w:rsid w:val="00150290"/>
    <w:rsid w:val="00152ACF"/>
    <w:rsid w:val="00157CD4"/>
    <w:rsid w:val="001674F7"/>
    <w:rsid w:val="001B28AE"/>
    <w:rsid w:val="00221DA1"/>
    <w:rsid w:val="00222CBF"/>
    <w:rsid w:val="00275FF0"/>
    <w:rsid w:val="002F1DA1"/>
    <w:rsid w:val="002F695A"/>
    <w:rsid w:val="00322110"/>
    <w:rsid w:val="00334FB6"/>
    <w:rsid w:val="00363ABD"/>
    <w:rsid w:val="00366D84"/>
    <w:rsid w:val="003674CC"/>
    <w:rsid w:val="00390678"/>
    <w:rsid w:val="003A1B22"/>
    <w:rsid w:val="004061BA"/>
    <w:rsid w:val="0041085A"/>
    <w:rsid w:val="00440C06"/>
    <w:rsid w:val="004507E2"/>
    <w:rsid w:val="00492044"/>
    <w:rsid w:val="00504F57"/>
    <w:rsid w:val="00535B2A"/>
    <w:rsid w:val="00536F88"/>
    <w:rsid w:val="0057033D"/>
    <w:rsid w:val="0058062B"/>
    <w:rsid w:val="005A4205"/>
    <w:rsid w:val="0062119B"/>
    <w:rsid w:val="006303B8"/>
    <w:rsid w:val="006349A5"/>
    <w:rsid w:val="00637949"/>
    <w:rsid w:val="00662330"/>
    <w:rsid w:val="006770D7"/>
    <w:rsid w:val="00693A29"/>
    <w:rsid w:val="006B007F"/>
    <w:rsid w:val="00730FD2"/>
    <w:rsid w:val="00797E37"/>
    <w:rsid w:val="007C214C"/>
    <w:rsid w:val="007D1675"/>
    <w:rsid w:val="007D4F22"/>
    <w:rsid w:val="00814424"/>
    <w:rsid w:val="008206ED"/>
    <w:rsid w:val="00872164"/>
    <w:rsid w:val="008C23C2"/>
    <w:rsid w:val="008D2E32"/>
    <w:rsid w:val="008D2F50"/>
    <w:rsid w:val="0090292E"/>
    <w:rsid w:val="00915E9E"/>
    <w:rsid w:val="009961BD"/>
    <w:rsid w:val="009969AF"/>
    <w:rsid w:val="009A21CE"/>
    <w:rsid w:val="009A43DD"/>
    <w:rsid w:val="009C62E7"/>
    <w:rsid w:val="009D5A04"/>
    <w:rsid w:val="00A01640"/>
    <w:rsid w:val="00A07BD3"/>
    <w:rsid w:val="00A145DA"/>
    <w:rsid w:val="00A337C3"/>
    <w:rsid w:val="00AE0028"/>
    <w:rsid w:val="00AE0567"/>
    <w:rsid w:val="00B0434E"/>
    <w:rsid w:val="00B2294C"/>
    <w:rsid w:val="00B256F0"/>
    <w:rsid w:val="00B63101"/>
    <w:rsid w:val="00B65C2E"/>
    <w:rsid w:val="00BA0DFA"/>
    <w:rsid w:val="00BA1D41"/>
    <w:rsid w:val="00BC2F49"/>
    <w:rsid w:val="00C00633"/>
    <w:rsid w:val="00C1325B"/>
    <w:rsid w:val="00C40F36"/>
    <w:rsid w:val="00C454F1"/>
    <w:rsid w:val="00C65E20"/>
    <w:rsid w:val="00CA7016"/>
    <w:rsid w:val="00CE74B9"/>
    <w:rsid w:val="00D06D36"/>
    <w:rsid w:val="00D5458A"/>
    <w:rsid w:val="00D56A48"/>
    <w:rsid w:val="00DB34D4"/>
    <w:rsid w:val="00DC51F4"/>
    <w:rsid w:val="00DC77E1"/>
    <w:rsid w:val="00DF0F84"/>
    <w:rsid w:val="00E013BA"/>
    <w:rsid w:val="00E2606D"/>
    <w:rsid w:val="00E46D8F"/>
    <w:rsid w:val="00E50EA6"/>
    <w:rsid w:val="00ED5F62"/>
    <w:rsid w:val="00F05634"/>
    <w:rsid w:val="00F56E39"/>
    <w:rsid w:val="00F86829"/>
    <w:rsid w:val="00F878E7"/>
    <w:rsid w:val="00FD0C0D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D41"/>
    <w:rPr>
      <w:b/>
      <w:bCs/>
    </w:rPr>
  </w:style>
  <w:style w:type="character" w:styleId="a4">
    <w:name w:val="Emphasis"/>
    <w:basedOn w:val="a0"/>
    <w:uiPriority w:val="20"/>
    <w:qFormat/>
    <w:rsid w:val="00BA1D41"/>
    <w:rPr>
      <w:i/>
      <w:iCs/>
    </w:rPr>
  </w:style>
  <w:style w:type="paragraph" w:styleId="a5">
    <w:name w:val="Normal (Web)"/>
    <w:basedOn w:val="a"/>
    <w:uiPriority w:val="99"/>
    <w:semiHidden/>
    <w:unhideWhenUsed/>
    <w:rsid w:val="00A33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F0F84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00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0633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C0063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0063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0063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0063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00633"/>
    <w:rPr>
      <w:b/>
      <w:bCs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5A420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D41"/>
    <w:rPr>
      <w:b/>
      <w:bCs/>
    </w:rPr>
  </w:style>
  <w:style w:type="character" w:styleId="a4">
    <w:name w:val="Emphasis"/>
    <w:basedOn w:val="a0"/>
    <w:uiPriority w:val="20"/>
    <w:qFormat/>
    <w:rsid w:val="00BA1D41"/>
    <w:rPr>
      <w:i/>
      <w:iCs/>
    </w:rPr>
  </w:style>
  <w:style w:type="paragraph" w:styleId="a5">
    <w:name w:val="Normal (Web)"/>
    <w:basedOn w:val="a"/>
    <w:uiPriority w:val="99"/>
    <w:semiHidden/>
    <w:unhideWhenUsed/>
    <w:rsid w:val="00A33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F0F84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00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0633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C0063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0063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0063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0063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00633"/>
    <w:rPr>
      <w:b/>
      <w:bCs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5A42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v.kadast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adastr.ru/magazine/news/sredniy-srok-kadastrovogo-ucheta-v-2019-godu-sostavil-4-dnya/" TargetMode="External"/><Relationship Id="rId5" Type="http://schemas.openxmlformats.org/officeDocument/2006/relationships/hyperlink" Target="https://kadastr.ru/services/oformit-nedvizhimos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Качаева Анастасия Валерьевна</dc:creator>
  <cp:lastModifiedBy>Сергей</cp:lastModifiedBy>
  <cp:revision>2</cp:revision>
  <cp:lastPrinted>2020-03-02T13:15:00Z</cp:lastPrinted>
  <dcterms:created xsi:type="dcterms:W3CDTF">2020-03-03T13:26:00Z</dcterms:created>
  <dcterms:modified xsi:type="dcterms:W3CDTF">2020-03-03T13:26:00Z</dcterms:modified>
</cp:coreProperties>
</file>