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7" w:rsidRDefault="002C41F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CB5FB6" w:rsidRDefault="002A7240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Электронная ипотека – быстро и просто</w:t>
      </w:r>
    </w:p>
    <w:p w:rsidR="002C41F7" w:rsidRDefault="002C41F7" w:rsidP="007D46CB">
      <w:pPr>
        <w:spacing w:before="120"/>
        <w:ind w:firstLine="709"/>
        <w:jc w:val="both"/>
        <w:rPr>
          <w:rFonts w:ascii="Segoe UI" w:hAnsi="Segoe UI"/>
        </w:rPr>
      </w:pPr>
    </w:p>
    <w:p w:rsidR="00F86743" w:rsidRDefault="002A7240" w:rsidP="007D46CB">
      <w:pPr>
        <w:spacing w:before="120"/>
        <w:ind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В апреле текущего года Управление Росреестра и банки Карелии </w:t>
      </w:r>
      <w:r w:rsidR="00F86743">
        <w:rPr>
          <w:rFonts w:ascii="Segoe UI" w:hAnsi="Segoe UI"/>
        </w:rPr>
        <w:t>запустили проект «Электронная ипотека за один день». Для представителей банка был организован вебинар по вопросам оказания услуг Росреестра в электронном виде</w:t>
      </w:r>
      <w:r w:rsidR="00635E2C">
        <w:rPr>
          <w:rFonts w:ascii="Segoe UI" w:hAnsi="Segoe UI"/>
        </w:rPr>
        <w:t>, обучающие мероприятия проводятся на постоянной основе.</w:t>
      </w:r>
    </w:p>
    <w:p w:rsidR="00F86743" w:rsidRDefault="00F86743" w:rsidP="00F86743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Благодаря активному взаимодействию органа регистрации прав и </w:t>
      </w:r>
      <w:r w:rsidR="000B3416">
        <w:rPr>
          <w:rFonts w:ascii="Segoe UI" w:hAnsi="Segoe UI"/>
        </w:rPr>
        <w:t>кредитных организаций востребованность сервиса электронной</w:t>
      </w:r>
      <w:r w:rsidR="00635E2C">
        <w:rPr>
          <w:rFonts w:ascii="Segoe UI" w:hAnsi="Segoe UI"/>
        </w:rPr>
        <w:t xml:space="preserve"> ипотеки демонстрирует</w:t>
      </w:r>
      <w:r w:rsidR="000B3416">
        <w:rPr>
          <w:rFonts w:ascii="Segoe UI" w:hAnsi="Segoe UI"/>
        </w:rPr>
        <w:t xml:space="preserve"> тенденцию </w:t>
      </w:r>
      <w:r w:rsidR="00635E2C">
        <w:rPr>
          <w:rFonts w:ascii="Segoe UI" w:hAnsi="Segoe UI"/>
        </w:rPr>
        <w:t>уверенного роста</w:t>
      </w:r>
      <w:r w:rsidR="000B3416">
        <w:rPr>
          <w:rFonts w:ascii="Segoe UI" w:hAnsi="Segoe UI"/>
        </w:rPr>
        <w:t>.</w:t>
      </w:r>
      <w:r w:rsidR="00635E2C">
        <w:rPr>
          <w:rFonts w:ascii="Segoe UI" w:hAnsi="Segoe UI"/>
        </w:rPr>
        <w:t xml:space="preserve"> В январе 2021 года доля электронной ипотеки составляла около 18%, в апреле уже приближается к  44%. В целом по результатам четырех месяцев текущего года доля электронной ипотеки – порядка 39%.</w:t>
      </w:r>
    </w:p>
    <w:p w:rsidR="00D34318" w:rsidRDefault="00D34318" w:rsidP="00F86743">
      <w:pPr>
        <w:ind w:right="-2" w:firstLine="709"/>
        <w:jc w:val="both"/>
        <w:rPr>
          <w:rFonts w:ascii="Segoe UI" w:hAnsi="Segoe UI"/>
        </w:rPr>
      </w:pPr>
    </w:p>
    <w:p w:rsidR="00CB5FB6" w:rsidRDefault="00635E2C" w:rsidP="00071340">
      <w:pPr>
        <w:ind w:right="-2" w:firstLine="709"/>
        <w:jc w:val="center"/>
        <w:rPr>
          <w:i/>
          <w:sz w:val="28"/>
        </w:rPr>
      </w:pPr>
      <w:r w:rsidRPr="00635E2C">
        <w:rPr>
          <w:i/>
          <w:noProof/>
          <w:sz w:val="28"/>
        </w:rPr>
        <w:drawing>
          <wp:inline distT="0" distB="0" distL="0" distR="0">
            <wp:extent cx="4572000" cy="2743200"/>
            <wp:effectExtent l="1905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D46CB" w:rsidRDefault="00FA1B5E" w:rsidP="00FA1B5E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>По данным сайта ДомКлик за май текущего года Управление Росреестра по Карелии обеспечивает регистрацию электронной ипотеки в среднем за 19 часов</w:t>
      </w:r>
      <w:r w:rsidR="00882326">
        <w:rPr>
          <w:rFonts w:ascii="Segoe UI" w:hAnsi="Segoe UI"/>
        </w:rPr>
        <w:t xml:space="preserve"> и занимает в рейтинге регионов третье место</w:t>
      </w:r>
      <w:r w:rsidR="005116EA">
        <w:rPr>
          <w:rFonts w:ascii="Segoe UI" w:hAnsi="Segoe UI"/>
        </w:rPr>
        <w:t>.</w:t>
      </w:r>
      <w:r>
        <w:rPr>
          <w:rFonts w:ascii="Segoe UI" w:hAnsi="Segoe UI"/>
        </w:rPr>
        <w:t xml:space="preserve"> </w:t>
      </w:r>
      <w:r w:rsidR="005116EA">
        <w:rPr>
          <w:rFonts w:ascii="Segoe UI" w:hAnsi="Segoe UI"/>
        </w:rPr>
        <w:t>П</w:t>
      </w:r>
      <w:r>
        <w:rPr>
          <w:rFonts w:ascii="Segoe UI" w:hAnsi="Segoe UI"/>
        </w:rPr>
        <w:t xml:space="preserve">ри этом 84% ипотечных сделок Сбербанка оформляется в республике в электронном виде. </w:t>
      </w:r>
    </w:p>
    <w:p w:rsidR="007D46CB" w:rsidRDefault="007D46CB" w:rsidP="00FA1B5E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Неоспоримыми преимуществами электронной ипотеки для приобретателей недвижимости являются: </w:t>
      </w:r>
    </w:p>
    <w:p w:rsidR="007D46CB" w:rsidRDefault="007D46CB" w:rsidP="00FA1B5E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>- простота оформления – все документы заполняются сотрудником банка;</w:t>
      </w:r>
    </w:p>
    <w:p w:rsidR="007D46CB" w:rsidRDefault="007D46CB" w:rsidP="00FA1B5E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>- посещение офиса всего один раз – для подписания договора;</w:t>
      </w:r>
    </w:p>
    <w:p w:rsidR="00FA1B5E" w:rsidRDefault="007D46CB" w:rsidP="00FA1B5E">
      <w:pPr>
        <w:ind w:right="-2" w:firstLine="709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скорость получения результата – в течение 24 часов. </w:t>
      </w:r>
      <w:r w:rsidR="00FA1B5E">
        <w:rPr>
          <w:rFonts w:ascii="Segoe UI" w:hAnsi="Segoe UI"/>
        </w:rPr>
        <w:t xml:space="preserve"> </w:t>
      </w:r>
    </w:p>
    <w:p w:rsidR="00CB5FB6" w:rsidRDefault="00CB5FB6">
      <w:pPr>
        <w:widowControl w:val="0"/>
        <w:ind w:firstLine="567"/>
        <w:jc w:val="both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7119BF">
      <w:pPr>
        <w:ind w:firstLine="567"/>
        <w:jc w:val="right"/>
        <w:outlineLvl w:val="0"/>
        <w:rPr>
          <w:rFonts w:ascii="Segoe UI" w:hAnsi="Segoe UI"/>
        </w:rPr>
      </w:pP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8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7119BF">
      <w:pPr>
        <w:rPr>
          <w:rFonts w:ascii="Segoe UI" w:hAnsi="Segoe UI"/>
          <w:sz w:val="18"/>
        </w:rPr>
      </w:pPr>
      <w:hyperlink r:id="rId9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10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294995">
      <w:headerReference w:type="default" r:id="rId11"/>
      <w:pgSz w:w="11906" w:h="16838"/>
      <w:pgMar w:top="1134" w:right="991" w:bottom="1134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A20" w:rsidRDefault="00821A20" w:rsidP="00CB5FB6">
      <w:r>
        <w:separator/>
      </w:r>
    </w:p>
  </w:endnote>
  <w:endnote w:type="continuationSeparator" w:id="1">
    <w:p w:rsidR="00821A20" w:rsidRDefault="00821A2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A20" w:rsidRDefault="00821A20" w:rsidP="00CB5FB6">
      <w:r>
        <w:separator/>
      </w:r>
    </w:p>
  </w:footnote>
  <w:footnote w:type="continuationSeparator" w:id="1">
    <w:p w:rsidR="00821A20" w:rsidRDefault="00821A2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71340"/>
    <w:rsid w:val="000B3416"/>
    <w:rsid w:val="00107BAE"/>
    <w:rsid w:val="002707BB"/>
    <w:rsid w:val="00294995"/>
    <w:rsid w:val="002A7240"/>
    <w:rsid w:val="002C41F7"/>
    <w:rsid w:val="0032422D"/>
    <w:rsid w:val="003D4A01"/>
    <w:rsid w:val="005116EA"/>
    <w:rsid w:val="005F6B13"/>
    <w:rsid w:val="00635E2C"/>
    <w:rsid w:val="00646B3C"/>
    <w:rsid w:val="006D5381"/>
    <w:rsid w:val="007119BF"/>
    <w:rsid w:val="007D46CB"/>
    <w:rsid w:val="00821A20"/>
    <w:rsid w:val="00882326"/>
    <w:rsid w:val="00A27A1B"/>
    <w:rsid w:val="00C22F18"/>
    <w:rsid w:val="00CB5FB6"/>
    <w:rsid w:val="00D34318"/>
    <w:rsid w:val="00EA29B5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hee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ipnyagova\Desktop\&#1080;&#1087;&#1086;&#1090;&#1077;&#1082;&#1072;%20&#1089;&#1090;&#1072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col"/>
        <c:grouping val="clustered"/>
        <c:ser>
          <c:idx val="0"/>
          <c:order val="0"/>
          <c:tx>
            <c:strRef>
              <c:f>'Показатели ОП (Управление)'!$B$2:$B$4</c:f>
              <c:strCache>
                <c:ptCount val="1"/>
                <c:pt idx="0">
                  <c:v>Ипотека</c:v>
                </c:pt>
              </c:strCache>
            </c:strRef>
          </c:tx>
          <c:dLbls>
            <c:showVal val="1"/>
          </c:dLbls>
          <c:cat>
            <c:strRef>
              <c:f>'Показатели ОП (Управление)'!$A$5:$A$11</c:f>
              <c:strCache>
                <c:ptCount val="7"/>
                <c:pt idx="0">
                  <c:v>январь</c:v>
                </c:pt>
                <c:pt idx="2">
                  <c:v>февраль</c:v>
                </c:pt>
                <c:pt idx="4">
                  <c:v>март</c:v>
                </c:pt>
                <c:pt idx="6">
                  <c:v>апрель</c:v>
                </c:pt>
              </c:strCache>
            </c:strRef>
          </c:cat>
          <c:val>
            <c:numRef>
              <c:f>'Показатели ОП (Управление)'!$B$5:$B$11</c:f>
              <c:numCache>
                <c:formatCode>General</c:formatCode>
                <c:ptCount val="7"/>
                <c:pt idx="0" formatCode="@">
                  <c:v>134</c:v>
                </c:pt>
                <c:pt idx="2" formatCode="@">
                  <c:v>377</c:v>
                </c:pt>
                <c:pt idx="4" formatCode="@">
                  <c:v>541</c:v>
                </c:pt>
                <c:pt idx="6">
                  <c:v>515</c:v>
                </c:pt>
              </c:numCache>
            </c:numRef>
          </c:val>
        </c:ser>
        <c:ser>
          <c:idx val="1"/>
          <c:order val="1"/>
          <c:tx>
            <c:strRef>
              <c:f>'Показатели ОП (Управление)'!$C$2:$C$4</c:f>
              <c:strCache>
                <c:ptCount val="1"/>
                <c:pt idx="0">
                  <c:v>Электронная ипотека</c:v>
                </c:pt>
              </c:strCache>
            </c:strRef>
          </c:tx>
          <c:dLbls>
            <c:dLbl>
              <c:idx val="0"/>
              <c:layout>
                <c:manualLayout>
                  <c:x val="2.2222222222222258E-2"/>
                  <c:y val="-9.25925925925929E-3"/>
                </c:manualLayout>
              </c:layout>
              <c:showVal val="1"/>
            </c:dLbl>
            <c:dLbl>
              <c:idx val="2"/>
              <c:layout>
                <c:manualLayout>
                  <c:x val="2.5000000000000015E-2"/>
                  <c:y val="9.25925925925929E-3"/>
                </c:manualLayout>
              </c:layout>
              <c:showVal val="1"/>
            </c:dLbl>
            <c:dLbl>
              <c:idx val="4"/>
              <c:layout>
                <c:manualLayout>
                  <c:x val="3.8888888888888952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3.3333333333333368E-2"/>
                  <c:y val="9.25925925925929E-3"/>
                </c:manualLayout>
              </c:layout>
              <c:showVal val="1"/>
            </c:dLbl>
            <c:showVal val="1"/>
          </c:dLbls>
          <c:cat>
            <c:strRef>
              <c:f>'Показатели ОП (Управление)'!$A$5:$A$11</c:f>
              <c:strCache>
                <c:ptCount val="7"/>
                <c:pt idx="0">
                  <c:v>январь</c:v>
                </c:pt>
                <c:pt idx="2">
                  <c:v>февраль</c:v>
                </c:pt>
                <c:pt idx="4">
                  <c:v>март</c:v>
                </c:pt>
                <c:pt idx="6">
                  <c:v>апрель</c:v>
                </c:pt>
              </c:strCache>
            </c:strRef>
          </c:cat>
          <c:val>
            <c:numRef>
              <c:f>'Показатели ОП (Управление)'!$C$5:$C$11</c:f>
              <c:numCache>
                <c:formatCode>General</c:formatCode>
                <c:ptCount val="7"/>
                <c:pt idx="0" formatCode="@">
                  <c:v>24</c:v>
                </c:pt>
                <c:pt idx="2" formatCode="@">
                  <c:v>146</c:v>
                </c:pt>
                <c:pt idx="4" formatCode="@">
                  <c:v>219</c:v>
                </c:pt>
                <c:pt idx="6">
                  <c:v>226</c:v>
                </c:pt>
              </c:numCache>
            </c:numRef>
          </c:val>
        </c:ser>
        <c:shape val="box"/>
        <c:axId val="93808896"/>
        <c:axId val="93813376"/>
        <c:axId val="0"/>
      </c:bar3DChart>
      <c:catAx>
        <c:axId val="93808896"/>
        <c:scaling>
          <c:orientation val="minMax"/>
        </c:scaling>
        <c:axPos val="b"/>
        <c:tickLblPos val="nextTo"/>
        <c:crossAx val="93813376"/>
        <c:crosses val="autoZero"/>
        <c:auto val="1"/>
        <c:lblAlgn val="ctr"/>
        <c:lblOffset val="100"/>
      </c:catAx>
      <c:valAx>
        <c:axId val="93813376"/>
        <c:scaling>
          <c:orientation val="minMax"/>
        </c:scaling>
        <c:axPos val="l"/>
        <c:numFmt formatCode="@" sourceLinked="1"/>
        <c:tickLblPos val="nextTo"/>
        <c:crossAx val="93808896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shipnyagova</cp:lastModifiedBy>
  <cp:revision>20</cp:revision>
  <cp:lastPrinted>2021-06-01T07:33:00Z</cp:lastPrinted>
  <dcterms:created xsi:type="dcterms:W3CDTF">2021-06-01T06:23:00Z</dcterms:created>
  <dcterms:modified xsi:type="dcterms:W3CDTF">2021-06-03T07:00:00Z</dcterms:modified>
</cp:coreProperties>
</file>