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714B36">
        <w:rPr>
          <w:color w:val="auto"/>
          <w:spacing w:val="-2"/>
        </w:rPr>
        <w:t>«</w:t>
      </w:r>
      <w:r w:rsidR="00714B36" w:rsidRPr="00714B36">
        <w:rPr>
          <w:color w:val="auto"/>
          <w:spacing w:val="-2"/>
          <w:u w:val="single"/>
        </w:rPr>
        <w:t>15</w:t>
      </w:r>
      <w:r w:rsidRPr="00714B36">
        <w:rPr>
          <w:color w:val="auto"/>
          <w:spacing w:val="-2"/>
        </w:rPr>
        <w:t xml:space="preserve">» </w:t>
      </w:r>
      <w:r w:rsidR="00BF5AC7" w:rsidRPr="00714B36">
        <w:rPr>
          <w:color w:val="auto"/>
          <w:spacing w:val="-2"/>
          <w:u w:val="single"/>
        </w:rPr>
        <w:t>январ</w:t>
      </w:r>
      <w:r w:rsidRPr="00714B36">
        <w:rPr>
          <w:color w:val="auto"/>
          <w:spacing w:val="-2"/>
          <w:u w:val="single"/>
        </w:rPr>
        <w:t>я</w:t>
      </w:r>
      <w:r w:rsidRPr="00714B36">
        <w:rPr>
          <w:color w:val="auto"/>
          <w:spacing w:val="-2"/>
        </w:rPr>
        <w:t xml:space="preserve"> </w:t>
      </w:r>
      <w:r w:rsidR="00BF5AC7" w:rsidRPr="00714B36">
        <w:rPr>
          <w:color w:val="auto"/>
          <w:spacing w:val="-1"/>
        </w:rPr>
        <w:t>2024</w:t>
      </w:r>
      <w:r w:rsidRPr="00714B36">
        <w:rPr>
          <w:color w:val="auto"/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</w:t>
      </w:r>
      <w:bookmarkStart w:id="0" w:name="_GoBack"/>
      <w:bookmarkEnd w:id="0"/>
      <w:r w:rsidRPr="00D3508B">
        <w:rPr>
          <w:spacing w:val="-1"/>
        </w:rPr>
        <w:t xml:space="preserve">                                                       № </w:t>
      </w:r>
      <w:r w:rsidR="00C65363">
        <w:rPr>
          <w:spacing w:val="-1"/>
          <w:u w:val="single"/>
        </w:rPr>
        <w:t xml:space="preserve"> 1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DC68C7" w:rsidRDefault="00675E44" w:rsidP="00FF5935">
      <w:pPr>
        <w:pStyle w:val="af1"/>
        <w:numPr>
          <w:ilvl w:val="0"/>
          <w:numId w:val="1"/>
        </w:numPr>
        <w:ind w:left="0" w:right="-1" w:firstLine="284"/>
        <w:jc w:val="both"/>
        <w:rPr>
          <w:color w:val="auto"/>
        </w:rPr>
      </w:pPr>
      <w:r w:rsidRPr="003F72AA">
        <w:rPr>
          <w:color w:val="000000"/>
        </w:rPr>
        <w:t>Установить, что получатели средств бюджета Гарнизонного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Pr="003F72AA">
        <w:rPr>
          <w:color w:val="000000"/>
        </w:rPr>
        <w:t xml:space="preserve"> лимито</w:t>
      </w:r>
      <w:r w:rsidR="00C65363">
        <w:rPr>
          <w:color w:val="000000"/>
        </w:rPr>
        <w:t>в бюджетных обязательств на 2024</w:t>
      </w:r>
      <w:r w:rsidRPr="003F72AA">
        <w:rPr>
          <w:color w:val="000000"/>
        </w:rPr>
        <w:t xml:space="preserve"> год, вправе пр</w:t>
      </w:r>
      <w:r>
        <w:rPr>
          <w:color w:val="000000"/>
        </w:rPr>
        <w:t>едусматривать авансовые платежи</w:t>
      </w:r>
      <w:r w:rsidR="004C046E" w:rsidRPr="00DC68C7">
        <w:rPr>
          <w:color w:val="auto"/>
        </w:rPr>
        <w:t>:</w:t>
      </w:r>
    </w:p>
    <w:p w:rsidR="005F2406" w:rsidRPr="00DC68C7" w:rsidRDefault="004C046E" w:rsidP="00FF5935">
      <w:pPr>
        <w:pStyle w:val="ac"/>
        <w:spacing w:before="0" w:after="0"/>
        <w:ind w:firstLine="284"/>
        <w:jc w:val="both"/>
        <w:rPr>
          <w:color w:val="auto"/>
        </w:rPr>
      </w:pPr>
      <w:r w:rsidRPr="00DC68C7">
        <w:rPr>
          <w:color w:val="auto"/>
        </w:rPr>
        <w:t>1.1. В размерах, установленных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постановлением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Правител</w:t>
      </w:r>
      <w:r w:rsidR="00F15C7F" w:rsidRPr="00DC68C7">
        <w:rPr>
          <w:color w:val="auto"/>
        </w:rPr>
        <w:t>ьства Российской Федерации от 09.12.2017 № 1496</w:t>
      </w:r>
      <w:r w:rsidRPr="00DC68C7">
        <w:rPr>
          <w:color w:val="auto"/>
        </w:rPr>
        <w:t xml:space="preserve"> «</w:t>
      </w:r>
      <w:r w:rsidR="00F15C7F" w:rsidRPr="00DC68C7">
        <w:rPr>
          <w:bCs/>
          <w:color w:val="auto"/>
          <w:shd w:val="clear" w:color="auto" w:fill="FFFFFF"/>
        </w:rPr>
        <w:t>О мерах по обеспечению исполнения федерального бюджета</w:t>
      </w:r>
      <w:r w:rsidRPr="00DC68C7">
        <w:rPr>
          <w:color w:val="auto"/>
        </w:rPr>
        <w:t>»</w:t>
      </w:r>
      <w:r w:rsidR="00F15C7F" w:rsidRPr="00DC68C7">
        <w:rPr>
          <w:color w:val="auto"/>
        </w:rPr>
        <w:t xml:space="preserve"> </w:t>
      </w:r>
      <w:r w:rsidRPr="00DC68C7">
        <w:rPr>
          <w:color w:val="auto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5F2406" w:rsidRPr="00FF5935" w:rsidRDefault="004C046E" w:rsidP="00FF5935">
      <w:pPr>
        <w:pStyle w:val="ac"/>
        <w:spacing w:before="0" w:after="0"/>
        <w:ind w:firstLine="284"/>
        <w:jc w:val="both"/>
      </w:pPr>
      <w:r w:rsidRPr="00FF5935">
        <w:rPr>
          <w:color w:val="000000"/>
        </w:rPr>
        <w:t>1.2. </w:t>
      </w:r>
      <w:proofErr w:type="gramStart"/>
      <w:r w:rsidR="00675E44">
        <w:t>В размере до 100 процентов суммы государственного контракта (договора), но не более лимитов бюджетных обязательств, доведенных</w:t>
      </w:r>
      <w:r w:rsidR="00675E44">
        <w:rPr>
          <w:rStyle w:val="apple-converted-space"/>
        </w:rPr>
        <w:t> </w:t>
      </w:r>
      <w:r w:rsidR="00675E44">
        <w:t>на  соответствующий</w:t>
      </w:r>
      <w:r w:rsidR="00675E44">
        <w:rPr>
          <w:rStyle w:val="apple-converted-space"/>
        </w:rPr>
        <w:t> </w:t>
      </w:r>
      <w:r w:rsidR="00675E44"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 w:rsidR="00675E44"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 w:rsidR="00675E44">
        <w:t>а-</w:t>
      </w:r>
      <w:proofErr w:type="gramEnd"/>
      <w:r w:rsidR="00675E44">
        <w:t xml:space="preserve"> и железнодорожных билетов, билетов для проезда </w:t>
      </w:r>
      <w:proofErr w:type="gramStart"/>
      <w:r w:rsidR="00675E44">
        <w:t>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</w:t>
      </w:r>
      <w:proofErr w:type="gramEnd"/>
      <w:r w:rsidR="00675E44">
        <w:t xml:space="preserve"> </w:t>
      </w:r>
      <w:proofErr w:type="gramStart"/>
      <w:r w:rsidR="00675E44">
        <w:t xml:space="preserve">на представительские расходы и иные расходы, связанные с представительской деятельностью органов местного самоуправления; на оказание услуг по организации участия российских исполнителей в сфере культуры и искусства в мероприятиях местного значения;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 w:rsidR="00675E44">
        <w:t>ГрКРФ</w:t>
      </w:r>
      <w:proofErr w:type="spellEnd"/>
      <w:r w:rsidR="00675E44">
        <w:t>, и результатов инженерных изысканий;</w:t>
      </w:r>
      <w:proofErr w:type="gramEnd"/>
      <w:r w:rsidR="00675E44">
        <w:t xml:space="preserve"> </w:t>
      </w:r>
      <w:proofErr w:type="gramStart"/>
      <w:r w:rsidR="00675E44">
        <w:t>проведение мероприятий по тушению пожаров; на страхование расходов по локализации и ликвидации чрезвычайных ситуаций; на приобретение материалов и оборудования для ликвидации возможных аварийных ситуаций в органах местного самоуправления и муниципальных казенных учреждениях;</w:t>
      </w:r>
      <w:r w:rsidR="00DC68C7">
        <w:rPr>
          <w:color w:val="000000"/>
        </w:rPr>
        <w:t xml:space="preserve"> на проведение работ по оценке </w:t>
      </w:r>
      <w:r w:rsidR="00675E44">
        <w:rPr>
          <w:color w:val="000000"/>
        </w:rPr>
        <w:lastRenderedPageBreak/>
        <w:t>профессиональных рисков;</w:t>
      </w:r>
      <w:r w:rsidR="00DC68C7">
        <w:rPr>
          <w:color w:val="000000"/>
        </w:rPr>
        <w:t xml:space="preserve"> на проведение специальной оценки условий труда</w:t>
      </w:r>
      <w:r w:rsidR="008B3479">
        <w:rPr>
          <w:color w:val="000000"/>
        </w:rPr>
        <w:t xml:space="preserve">; на спортивный инвентарь; </w:t>
      </w:r>
      <w:r w:rsidR="00AA3B7C">
        <w:rPr>
          <w:color w:val="000000"/>
        </w:rPr>
        <w:t xml:space="preserve">на </w:t>
      </w:r>
      <w:r w:rsidR="008B3479">
        <w:rPr>
          <w:color w:val="000000"/>
        </w:rPr>
        <w:t>инвентарь и о</w:t>
      </w:r>
      <w:r w:rsidR="00AA3B7C">
        <w:rPr>
          <w:color w:val="000000"/>
        </w:rPr>
        <w:t>борудование детских игровых и сп</w:t>
      </w:r>
      <w:r w:rsidR="008B3479">
        <w:rPr>
          <w:color w:val="000000"/>
        </w:rPr>
        <w:t>ортивных площадок</w:t>
      </w:r>
      <w:r w:rsidRPr="00FF5935">
        <w:rPr>
          <w:color w:val="000000"/>
        </w:rPr>
        <w:t>.</w:t>
      </w:r>
      <w:proofErr w:type="gramEnd"/>
    </w:p>
    <w:p w:rsidR="00675E44" w:rsidRPr="00FF5935" w:rsidRDefault="00846A72" w:rsidP="00675E44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</w:t>
      </w:r>
      <w:r w:rsidR="00675E44" w:rsidRPr="00FF5935">
        <w:rPr>
          <w:color w:val="000000"/>
        </w:rPr>
        <w:t>В размере до 70 процентов суммы договора (муниципального контракта) на приобретение  электрической энергии</w:t>
      </w:r>
      <w:r w:rsidR="00675E44" w:rsidRPr="00FF5935">
        <w:rPr>
          <w:rFonts w:eastAsia="Times New Roman" w:cs="Times New Roman"/>
          <w:color w:val="000000"/>
        </w:rPr>
        <w:t xml:space="preserve"> у гарантирующего поставщика, оплату электрической энергии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675E44" w:rsidRPr="00FF5935" w:rsidRDefault="00846A72" w:rsidP="00675E44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</w:t>
      </w:r>
      <w:r w:rsidR="00675E44" w:rsidRPr="00FF5935">
        <w:rPr>
          <w:color w:val="000000"/>
        </w:rPr>
        <w:t>В размере до 30 процентов суммы договора (муниципального контракта), 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Гарнизонного сельского поселения.</w:t>
      </w:r>
    </w:p>
    <w:p w:rsidR="00FF5935" w:rsidRPr="00FF5935" w:rsidRDefault="00675E44" w:rsidP="00675E44">
      <w:pPr>
        <w:pStyle w:val="ac"/>
        <w:shd w:val="clear" w:color="auto" w:fill="FFFFFF"/>
        <w:spacing w:before="0" w:after="0"/>
        <w:jc w:val="both"/>
      </w:pPr>
      <w:r>
        <w:t xml:space="preserve">     2. Постановление администрации Гарнизо</w:t>
      </w:r>
      <w:r w:rsidR="00C65363">
        <w:t>нного сельского поселения от 13.06</w:t>
      </w:r>
      <w:r>
        <w:t>.2023г. №</w:t>
      </w:r>
      <w:r w:rsidR="00AA3B7C">
        <w:t>1</w:t>
      </w:r>
      <w:r w:rsidR="00C65363">
        <w:t>6</w:t>
      </w:r>
      <w:r>
        <w:t xml:space="preserve">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 w:rsidR="00AA3B7C">
        <w:t xml:space="preserve"> </w:t>
      </w:r>
      <w:r w:rsidRPr="004806FD">
        <w:t>признать</w:t>
      </w:r>
      <w:r w:rsidR="00AA3B7C">
        <w:t xml:space="preserve"> утратившим</w:t>
      </w:r>
      <w:r>
        <w:t xml:space="preserve"> силу.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DC68C7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DC68C7">
        <w:rPr>
          <w:color w:val="131313"/>
          <w:bdr w:val="none" w:sz="0" w:space="0" w:color="auto" w:frame="1"/>
        </w:rPr>
        <w:t>А.В.Венёвцев</w:t>
      </w:r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B3DE9"/>
    <w:rsid w:val="000C32CE"/>
    <w:rsid w:val="000D0ACB"/>
    <w:rsid w:val="004C046E"/>
    <w:rsid w:val="005F2406"/>
    <w:rsid w:val="00675E44"/>
    <w:rsid w:val="006A1B26"/>
    <w:rsid w:val="00700A79"/>
    <w:rsid w:val="00714B36"/>
    <w:rsid w:val="007E6DD2"/>
    <w:rsid w:val="00846A72"/>
    <w:rsid w:val="008B3479"/>
    <w:rsid w:val="00AA3B7C"/>
    <w:rsid w:val="00BF5AC7"/>
    <w:rsid w:val="00C20D31"/>
    <w:rsid w:val="00C65363"/>
    <w:rsid w:val="00D3508B"/>
    <w:rsid w:val="00D93286"/>
    <w:rsid w:val="00DC68C7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2024-01-15T07:06:00Z</dcterms:created>
  <dcterms:modified xsi:type="dcterms:W3CDTF">2024-01-15T07:06:00Z</dcterms:modified>
  <dc:language>ru-RU</dc:language>
</cp:coreProperties>
</file>