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81" w:rsidRDefault="001069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b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045"/>
      </w:tblGrid>
      <w:tr w:rsidR="00106981">
        <w:trPr>
          <w:trHeight w:val="113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06981" w:rsidRDefault="009D7145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7399" cy="458488"/>
                  <wp:effectExtent l="0" t="0" r="0" b="0"/>
                  <wp:docPr id="2" name="image1.jpg" descr="C:\Users\009MukhinaMG\Desktop\логотип СФ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009MukhinaMG\Desktop\логотип СФР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106981" w:rsidRDefault="009D7145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106981" w:rsidRDefault="009D7145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Электронная почта пресс-службы smi@10.sfr.gov.ru</w:t>
            </w:r>
          </w:p>
        </w:tc>
      </w:tr>
    </w:tbl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Более 6 тысяч карельских семей распорядились материнским капиталом в 2023 году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 году Отделение Социального фонда по Республике Карелия  удовлетворило 6279 заявлений о распоряжении средствами материнского капитала. Самым популярным направлением у карельских семей по-прежнему остается улучшение жилищных условий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эти цели средства направили 2598 владельцев сертификатов.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Напомним, что улучшить жилищные условия можно путем покупки, строительства или реконструкции  квартиры или дома. При этом покупка жилья возможна как за собственные средства, так и за счет ипотечного кредита. Для удобства граждан распорядиться сертификатом на покупку жилья по ипотеке можно прямо в банке, где оформляется кредит. Такой возможностью в 2023 году воспользовались 1245 семей.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Вторым по популярности направлением в Карели является обучение детей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выбрала 1881 семья. Жители Карелии направляют средства на оплату высшего, дошкольного или дополнительного образования, оплату проживания детей в общежитии учебного заведения.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менее востребованы и ежемесячные выплаты из материнского капитала на ребенка до 3 лет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 2023 году оформили 1760 семей. Напомним, что размер ежемесячной выплаты в 2024 году в Карелии составляет 19208 рублей в северных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17939 рублей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Петрозаводске и остальных районах.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семей в 2023 году направили средства материнского капитала на накопительную пенсию мамы. Отметим, что с 2024 года материнский капитал можно направлять и на накопительную пенсию папы, если он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одиноким отцом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единственным усыновителем.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господдержки семья может использовать как по одному направлению, так и по нескольким одновременно. Например, основную часть материнского капитала направить на улучшение жилищных условий, а  оставшиеся 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обучение детей.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средства можно после достижения  </w:t>
      </w:r>
      <w:r>
        <w:rPr>
          <w:rFonts w:ascii="Times New Roman" w:eastAsia="Times New Roman" w:hAnsi="Times New Roman" w:cs="Times New Roman"/>
          <w:sz w:val="24"/>
          <w:szCs w:val="24"/>
        </w:rPr>
        <w:t>трехлетия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давш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господдержку. Исключение составляют такие направления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погашение ипотеки, оплата дошкольного образования (детского сада) и ежемесячная выплата из средств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маткапитала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эти цели семья может использовать материнский капитал сразу после оформления сертификата.  </w:t>
      </w:r>
    </w:p>
    <w:p w:rsidR="00106981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материнского капитала с 1 февраля этого года проиндексирован и составляет более 630 тысяч рублей при рождении первенца. При рождении второго ребенка сумма увеличивается до 833 тысяч рублей. </w:t>
      </w:r>
    </w:p>
    <w:p w:rsidR="00106981" w:rsidRPr="009D7145" w:rsidRDefault="009D71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145">
        <w:rPr>
          <w:rFonts w:ascii="Times New Roman" w:eastAsia="Times New Roman" w:hAnsi="Times New Roman" w:cs="Times New Roman"/>
          <w:sz w:val="24"/>
          <w:szCs w:val="24"/>
        </w:rPr>
        <w:t xml:space="preserve">Если у вас есть вопросы, вы всегда можете обратиться к специалистам Отделения СФР по Республике, позвонив в </w:t>
      </w:r>
      <w:r w:rsidR="00D243DF">
        <w:rPr>
          <w:rFonts w:ascii="Times New Roman" w:eastAsia="Times New Roman" w:hAnsi="Times New Roman" w:cs="Times New Roman"/>
          <w:sz w:val="24"/>
          <w:szCs w:val="24"/>
        </w:rPr>
        <w:t>единый контакт-центр: 8</w:t>
      </w:r>
      <w:r w:rsidR="00D243DF" w:rsidRPr="00D243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43DF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D243DF" w:rsidRPr="00D243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43DF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D243DF" w:rsidRPr="00D243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243DF">
        <w:rPr>
          <w:rFonts w:ascii="Times New Roman" w:eastAsia="Times New Roman" w:hAnsi="Times New Roman" w:cs="Times New Roman"/>
          <w:sz w:val="24"/>
          <w:szCs w:val="24"/>
        </w:rPr>
        <w:t>07</w:t>
      </w:r>
      <w:r w:rsidR="00D243DF" w:rsidRPr="00D243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D7145">
        <w:rPr>
          <w:rFonts w:ascii="Times New Roman" w:eastAsia="Times New Roman" w:hAnsi="Times New Roman" w:cs="Times New Roman"/>
          <w:sz w:val="24"/>
          <w:szCs w:val="24"/>
        </w:rPr>
        <w:t xml:space="preserve">57 (звонок бесплатный). </w:t>
      </w:r>
    </w:p>
    <w:p w:rsidR="00106981" w:rsidRDefault="001069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981" w:rsidRDefault="009D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lastRenderedPageBreak/>
        <w:t>Пресс-служба</w:t>
      </w:r>
    </w:p>
    <w:p w:rsidR="00106981" w:rsidRDefault="009D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Отделения СФР по Республике Карелия</w:t>
      </w:r>
    </w:p>
    <w:p w:rsidR="00106981" w:rsidRDefault="00941C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/>
        </w:rPr>
        <w:t>1</w:t>
      </w:r>
      <w:r w:rsidR="009D7145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2.02.2023</w:t>
      </w:r>
    </w:p>
    <w:p w:rsidR="00106981" w:rsidRDefault="0010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106981" w:rsidRDefault="0010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106981" w:rsidRDefault="0010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6981" w:rsidRDefault="00106981"/>
    <w:sectPr w:rsidR="00106981" w:rsidSect="001069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81"/>
    <w:rsid w:val="00106981"/>
    <w:rsid w:val="00941C3C"/>
    <w:rsid w:val="00987BCE"/>
    <w:rsid w:val="009D7145"/>
    <w:rsid w:val="00D243DF"/>
    <w:rsid w:val="00E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9"/>
  </w:style>
  <w:style w:type="paragraph" w:styleId="1">
    <w:name w:val="heading 1"/>
    <w:basedOn w:val="a"/>
    <w:link w:val="10"/>
    <w:uiPriority w:val="9"/>
    <w:qFormat/>
    <w:rsid w:val="0020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11"/>
    <w:next w:val="11"/>
    <w:rsid w:val="001069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1069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1069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1069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1069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06981"/>
  </w:style>
  <w:style w:type="table" w:customStyle="1" w:styleId="TableNormal">
    <w:name w:val="Table Normal"/>
    <w:rsid w:val="001069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1069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2D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D6004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</w:rPr>
  </w:style>
  <w:style w:type="character" w:styleId="a6">
    <w:name w:val="Strong"/>
    <w:basedOn w:val="a0"/>
    <w:uiPriority w:val="22"/>
    <w:qFormat/>
    <w:rsid w:val="00150F82"/>
    <w:rPr>
      <w:b/>
      <w:bCs/>
    </w:rPr>
  </w:style>
  <w:style w:type="table" w:styleId="a7">
    <w:name w:val="Table Grid"/>
    <w:basedOn w:val="a1"/>
    <w:uiPriority w:val="59"/>
    <w:rsid w:val="00910D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D49"/>
    <w:rPr>
      <w:rFonts w:ascii="Tahoma" w:hAnsi="Tahoma" w:cs="Tahoma"/>
      <w:sz w:val="16"/>
      <w:szCs w:val="16"/>
    </w:rPr>
  </w:style>
  <w:style w:type="paragraph" w:styleId="aa">
    <w:name w:val="Subtitle"/>
    <w:basedOn w:val="11"/>
    <w:next w:val="11"/>
    <w:rsid w:val="001069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0698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9"/>
  </w:style>
  <w:style w:type="paragraph" w:styleId="1">
    <w:name w:val="heading 1"/>
    <w:basedOn w:val="a"/>
    <w:link w:val="10"/>
    <w:uiPriority w:val="9"/>
    <w:qFormat/>
    <w:rsid w:val="0020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11"/>
    <w:next w:val="11"/>
    <w:rsid w:val="001069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1069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1069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1069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1069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06981"/>
  </w:style>
  <w:style w:type="table" w:customStyle="1" w:styleId="TableNormal">
    <w:name w:val="Table Normal"/>
    <w:rsid w:val="001069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1069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2D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D6004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</w:rPr>
  </w:style>
  <w:style w:type="character" w:styleId="a6">
    <w:name w:val="Strong"/>
    <w:basedOn w:val="a0"/>
    <w:uiPriority w:val="22"/>
    <w:qFormat/>
    <w:rsid w:val="00150F82"/>
    <w:rPr>
      <w:b/>
      <w:bCs/>
    </w:rPr>
  </w:style>
  <w:style w:type="table" w:styleId="a7">
    <w:name w:val="Table Grid"/>
    <w:basedOn w:val="a1"/>
    <w:uiPriority w:val="59"/>
    <w:rsid w:val="00910D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0D49"/>
    <w:rPr>
      <w:rFonts w:ascii="Tahoma" w:hAnsi="Tahoma" w:cs="Tahoma"/>
      <w:sz w:val="16"/>
      <w:szCs w:val="16"/>
    </w:rPr>
  </w:style>
  <w:style w:type="paragraph" w:styleId="aa">
    <w:name w:val="Subtitle"/>
    <w:basedOn w:val="11"/>
    <w:next w:val="11"/>
    <w:rsid w:val="001069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0698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F2jNsH9CELEF2vj7iyNtJ74fg==">CgMxLjA4AHIhMW9vRUd3aUM1cnFCU1hFUFJya3JYQnZSODQwVllXUE5h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2024-02-12T12:31:00Z</dcterms:created>
  <dcterms:modified xsi:type="dcterms:W3CDTF">2024-02-12T12:31:00Z</dcterms:modified>
</cp:coreProperties>
</file>