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FF" w:rsidRDefault="0020336D" w:rsidP="0020336D">
      <w:pPr>
        <w:shd w:val="clear" w:color="auto" w:fill="FFFFFF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bookmarkStart w:id="0" w:name="_GoBack"/>
      <w:r w:rsidRPr="0020336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Закон о государственной гражданской службе претерпел серьезные изменения</w:t>
      </w:r>
    </w:p>
    <w:bookmarkEnd w:id="0"/>
    <w:p w:rsidR="0020336D" w:rsidRPr="0020336D" w:rsidRDefault="0020336D" w:rsidP="0020336D">
      <w:pPr>
        <w:shd w:val="clear" w:color="auto" w:fill="FFFFFF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6439FF" w:rsidRPr="0020336D" w:rsidRDefault="0020336D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Федеральны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м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 xml:space="preserve"> закон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ом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 xml:space="preserve"> от 22 апреля 2024 г. № 87-ФЗ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внесены изменения </w:t>
      </w:r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в </w:t>
      </w:r>
      <w:hyperlink r:id="rId6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Федеральный за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кон от 27 июля 2004 г. № 79-ФЗ «</w:t>
        </w:r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О государственной гражданской службе Российской Федерации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»</w:t>
      </w:r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(далее – </w:t>
      </w:r>
      <w:hyperlink r:id="rId7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Закон № 79-ФЗ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20336D" w:rsidRPr="0020336D" w:rsidRDefault="006439FF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</w:t>
      </w:r>
      <w:hyperlink r:id="rId8" w:anchor="block_24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 </w:t>
        </w:r>
        <w:r w:rsidR="0020336D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 xml:space="preserve">новой редакции 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стать</w:t>
        </w:r>
        <w:r w:rsidR="0020336D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и</w:t>
        </w:r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 xml:space="preserve"> 24 Закона № 79-ФЗ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 в служебном контракте гражданского служащего предусматриваются существенные и иные условия. Законом введен </w:t>
      </w:r>
      <w:hyperlink r:id="rId9" w:anchor="block_2402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унифицированный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подход к условиям служебного контракта (без деления на существенные и иные условия). </w:t>
      </w:r>
    </w:p>
    <w:p w:rsidR="006439FF" w:rsidRPr="0020336D" w:rsidRDefault="006439FF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этим появится возможность вносить изменения во все условия служебного контракта по инициативе представителя нанимателя, а не только в существенные, как это предусмотрено действующей редакцией </w:t>
      </w:r>
      <w:hyperlink r:id="rId10" w:anchor="block_29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ст. 29 Закона № 79-ФЗ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39FF" w:rsidRPr="0020336D" w:rsidRDefault="006439FF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изменении условий служебного контракта необходимо будет исходить из причин, повлекших изменение условий профессиональной служебной деятельности гражданского служащего. Закрепляется закрытый </w:t>
      </w:r>
      <w:hyperlink r:id="rId11" w:anchor="block_2902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перечень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таких причин.</w:t>
      </w:r>
    </w:p>
    <w:p w:rsidR="0020336D" w:rsidRPr="0020336D" w:rsidRDefault="0020336D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становлено, что изменение условий служебного контракта допускается только в том случае, когда сохранение прежних условий </w:t>
      </w:r>
      <w:hyperlink r:id="rId12" w:anchor="block_2901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невозможно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этом </w:t>
      </w: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редусматривается </w:t>
      </w:r>
      <w:hyperlink r:id="rId13" w:anchor="block_2901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обязанность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представителя нанимателя предложить иную вакантную должность гражданскому служащему, не согласному на продолжение государственно-служебных отношений по замещаемой должности в изменившихся условиях.</w:t>
      </w:r>
    </w:p>
    <w:p w:rsidR="0020336D" w:rsidRPr="0020336D" w:rsidRDefault="0020336D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4" w:anchor="block_28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Уточняется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порядок перевода гражданского служащего на иную должность, в том числе в другом государственном органе.</w:t>
      </w:r>
    </w:p>
    <w:p w:rsidR="006439FF" w:rsidRPr="0020336D" w:rsidRDefault="006439FF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 перечень случаев перевода, когда исключается необходимость проведения конкурса.</w:t>
      </w:r>
    </w:p>
    <w:p w:rsidR="006439FF" w:rsidRPr="0020336D" w:rsidRDefault="006439FF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Госслужащий сможет перевестись в другой орган по </w:t>
      </w:r>
      <w:hyperlink r:id="rId15" w:anchor="block_28012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собственной</w:t>
        </w:r>
      </w:hyperlink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инициативе. </w:t>
      </w:r>
    </w:p>
    <w:p w:rsidR="0020336D" w:rsidRPr="0020336D" w:rsidRDefault="0020336D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6" w:anchor="block_112" w:history="1">
        <w:r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Регламентирована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возможность включения в кадровый резерв гражданских служащих, увольняемых с гражданской службы при невозможности их перевода на иную должность государственной службы в связи с ее отсутствием или при отказе гражданских служащих от перевода в соответствии со </w:t>
      </w:r>
      <w:hyperlink r:id="rId17" w:anchor="block_28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ст. 28 Закона № 79-ФЗ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39FF" w:rsidRPr="0020336D" w:rsidRDefault="0020336D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8" w:anchor="block_5906" w:history="1">
        <w:r w:rsidR="006439FF" w:rsidRPr="0020336D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Увеличен</w:t>
        </w:r>
      </w:hyperlink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 с 30 до 60 календарных дней возможный срок проведения служебных проверок, который может быть продлен до 90 календарных дней лицами, принявшими решение о ее проведении.</w:t>
      </w:r>
    </w:p>
    <w:p w:rsidR="006439FF" w:rsidRPr="0020336D" w:rsidRDefault="0020336D" w:rsidP="0020336D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Изменения законодательства </w:t>
      </w:r>
      <w:r w:rsidR="006439FF"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вступа</w:t>
      </w:r>
      <w:r w:rsidRPr="0020336D">
        <w:rPr>
          <w:rFonts w:ascii="Times New Roman" w:eastAsia="Times New Roman" w:hAnsi="Times New Roman" w:cs="Times New Roman"/>
          <w:sz w:val="28"/>
          <w:szCs w:val="24"/>
          <w:lang w:eastAsia="ru-RU"/>
        </w:rPr>
        <w:t>ют в силу с 22 июля 2024 года.</w:t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777"/>
    <w:multiLevelType w:val="multilevel"/>
    <w:tmpl w:val="26D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84"/>
    <w:rsid w:val="000F6484"/>
    <w:rsid w:val="0020336D"/>
    <w:rsid w:val="006439FF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20F1"/>
  <w15:docId w15:val="{0B2D718C-A31D-4525-93C9-CB42C0C4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9F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vertising">
    <w:name w:val="advertising"/>
    <w:basedOn w:val="a0"/>
    <w:rsid w:val="006439FF"/>
  </w:style>
  <w:style w:type="paragraph" w:styleId="a3">
    <w:name w:val="Normal (Web)"/>
    <w:basedOn w:val="a"/>
    <w:uiPriority w:val="99"/>
    <w:semiHidden/>
    <w:unhideWhenUsed/>
    <w:rsid w:val="006439F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9FF"/>
    <w:rPr>
      <w:color w:val="0000FF"/>
      <w:u w:val="single"/>
    </w:rPr>
  </w:style>
  <w:style w:type="character" w:customStyle="1" w:styleId="share-counter">
    <w:name w:val="share-counter"/>
    <w:basedOn w:val="a0"/>
    <w:rsid w:val="006439FF"/>
  </w:style>
  <w:style w:type="character" w:styleId="a5">
    <w:name w:val="Strong"/>
    <w:basedOn w:val="a0"/>
    <w:uiPriority w:val="22"/>
    <w:qFormat/>
    <w:rsid w:val="006439FF"/>
    <w:rPr>
      <w:b/>
      <w:bCs/>
    </w:rPr>
  </w:style>
  <w:style w:type="paragraph" w:customStyle="1" w:styleId="age-category">
    <w:name w:val="age-category"/>
    <w:basedOn w:val="a"/>
    <w:rsid w:val="006439F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5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290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38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224100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6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1112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68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2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35968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3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2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7509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4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999999"/>
                                        <w:left w:val="none" w:sz="0" w:space="0" w:color="auto"/>
                                        <w:bottom w:val="single" w:sz="12" w:space="0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83257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850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2340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62102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643940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0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1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0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4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5906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9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6354/7b14d2c2dfc862f67bd2c3471bf87b3f/" TargetMode="External"/><Relationship Id="rId13" Type="http://schemas.openxmlformats.org/officeDocument/2006/relationships/hyperlink" Target="https://base.garant.ru/408920577/" TargetMode="External"/><Relationship Id="rId18" Type="http://schemas.openxmlformats.org/officeDocument/2006/relationships/hyperlink" Target="https://base.garant.ru/4089205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36354/" TargetMode="External"/><Relationship Id="rId12" Type="http://schemas.openxmlformats.org/officeDocument/2006/relationships/hyperlink" Target="https://base.garant.ru/408920577/" TargetMode="External"/><Relationship Id="rId17" Type="http://schemas.openxmlformats.org/officeDocument/2006/relationships/hyperlink" Target="https://base.garant.ru/12136354/53070549816cbd8f006da724de818c2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8920577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6354/" TargetMode="External"/><Relationship Id="rId11" Type="http://schemas.openxmlformats.org/officeDocument/2006/relationships/hyperlink" Target="https://base.garant.ru/408920577/" TargetMode="External"/><Relationship Id="rId5" Type="http://schemas.openxmlformats.org/officeDocument/2006/relationships/hyperlink" Target="https://base.garant.ru/408920577/" TargetMode="External"/><Relationship Id="rId15" Type="http://schemas.openxmlformats.org/officeDocument/2006/relationships/hyperlink" Target="https://base.garant.ru/408920577/" TargetMode="External"/><Relationship Id="rId10" Type="http://schemas.openxmlformats.org/officeDocument/2006/relationships/hyperlink" Target="https://base.garant.ru/12136354/7a69fb6632f5876efd3160114758a106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8920577/" TargetMode="External"/><Relationship Id="rId14" Type="http://schemas.openxmlformats.org/officeDocument/2006/relationships/hyperlink" Target="https://base.garant.ru/4089205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5</cp:revision>
  <dcterms:created xsi:type="dcterms:W3CDTF">2024-05-04T13:10:00Z</dcterms:created>
  <dcterms:modified xsi:type="dcterms:W3CDTF">2024-05-04T13:36:00Z</dcterms:modified>
</cp:coreProperties>
</file>