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Об опасности покупки аварийного жилья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Иногда граждане приобретают со значительной скидкой квартиры в  домах, признанных аварийными. Вместе с тем таким покупателям необходимо учитывать принятые в 2019 году поправки в статью 32 Жилищного кодекса Российской Федерации.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соответствии с этими поправками если вы приобрели квартиру после признания дома аварийным, и покупка состоялась после 27.12.2019, вы не можете рассчитывать на предоставление нового жилья взамен того, которое признали аварийным в рамках программы переселен</w:t>
      </w:r>
      <w:r>
        <w:rPr>
          <w:rFonts w:ascii="Segoe UI" w:hAnsi="Segoe UI"/>
          <w:sz w:val="24"/>
          <w:szCs w:val="24"/>
          <w14:ligatures w14:val="none"/>
        </w:rPr>
        <w:t xml:space="preserve">ия граждан из аварийного жилья.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этом случае граждане имеют право на выплату денежного возмещения за утраченное жилое помещение. При этом сумма компенсации не может превышать суммы, указанной в договоре купли-продажи данного помещения. Исключение из этого правила составляют только те соб</w:t>
      </w:r>
      <w:r>
        <w:rPr>
          <w:rFonts w:ascii="Segoe UI" w:hAnsi="Segoe UI"/>
          <w:sz w:val="24"/>
          <w:szCs w:val="24"/>
          <w14:ligatures w14:val="none"/>
        </w:rPr>
        <w:t xml:space="preserve">ственники, которые унаследовали жилье в аварийном доме.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96</cp:revision>
  <dcterms:created xsi:type="dcterms:W3CDTF">2023-06-13T09:29:00Z</dcterms:created>
  <dcterms:modified xsi:type="dcterms:W3CDTF">2024-12-27T07:34:58Z</dcterms:modified>
</cp:coreProperties>
</file>