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Общая собственность: долевая или совместная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 w:cs="Segoe UI"/>
          <w:iCs/>
        </w:rPr>
        <w:t xml:space="preserve">Если имущество принадлежит одновременно двум или более собственникам, у них возникает право общей собственности.Другими словами, общая собственность - это право нескольких лиц на одну и ту же вещь. При этом само имущество не делится между ними в натуре. Мож</w:t>
      </w:r>
      <w:r>
        <w:rPr>
          <w:rFonts w:ascii="Segoe UI" w:hAnsi="Segoe UI" w:cs="Segoe UI"/>
          <w:iCs/>
        </w:rPr>
        <w:t xml:space="preserve">но сказать, что каждый участник общей собственности получает право на "совладение", "сопользование" и "сораспоряжение" всем общим имуществом.</w:t>
      </w:r>
      <w:r>
        <w:rPr>
          <w:rFonts w:ascii="Segoe UI" w:hAnsi="Segoe UI" w:cs="Segoe UI"/>
          <w:iCs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 w:cs="Segoe UI"/>
          <w:iCs/>
        </w:rPr>
        <w:t xml:space="preserve">Законодательство предусматривает два вида общей собственности - долевая и совместная. Если имущество находится в общей собственности с определением доли каждого из собственников в праве собственности - это долевая собственность. Если доли в праве общей собс</w:t>
      </w:r>
      <w:r>
        <w:rPr>
          <w:rFonts w:ascii="Segoe UI" w:hAnsi="Segoe UI" w:cs="Segoe UI"/>
          <w:iCs/>
        </w:rPr>
        <w:t xml:space="preserve">твенности изначально не определяются - собственность совместная.</w:t>
      </w:r>
      <w:r>
        <w:rPr>
          <w:rFonts w:ascii="Segoe UI" w:hAnsi="Segoe UI" w:cs="Segoe UI"/>
          <w:iCs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 w:cs="Segoe UI"/>
          <w:iCs/>
        </w:rPr>
        <w:t xml:space="preserve">При долевой собственности на доли делится не сама вещь, а право собственности на нее. Это значит, что доля в праве собственности не означает физическую часть вещи. Нельзя иметь, например, в собственности 1/2 квартиры, но можно иметь 1/2 в праве собственност</w:t>
      </w:r>
      <w:r>
        <w:rPr>
          <w:rFonts w:ascii="Segoe UI" w:hAnsi="Segoe UI" w:cs="Segoe UI"/>
          <w:iCs/>
        </w:rPr>
        <w:t xml:space="preserve">и на нее.</w:t>
      </w:r>
      <w:r>
        <w:rPr>
          <w:rFonts w:ascii="Segoe UI" w:hAnsi="Segoe UI" w:cs="Segoe UI"/>
          <w:iCs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 w:cs="Segoe UI"/>
          <w:iCs/>
        </w:rPr>
        <w:t xml:space="preserve">Сособственники владеют и пользуются имуществом по соглашению, а если они не могут договориться, порядок установит суд.Например, сособственники нежилого здания могут договориться, какие помещения кто из них использует.</w:t>
      </w:r>
      <w:r>
        <w:rPr>
          <w:rFonts w:ascii="Segoe UI" w:hAnsi="Segoe UI" w:cs="Segoe UI"/>
          <w:iCs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 w:cs="Segoe UI"/>
          <w:iCs/>
        </w:rPr>
        <w:t xml:space="preserve">По умолчанию общая собственность является долевой, если закон не предусматривает образование совместной собственности на имущество.</w:t>
      </w:r>
      <w:r>
        <w:rPr>
          <w:rFonts w:ascii="Segoe UI" w:hAnsi="Segoe UI" w:cs="Segoe UI"/>
          <w:iCs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 w:cs="Segoe UI"/>
          <w:iCs/>
        </w:rPr>
        <w:t xml:space="preserve">Например, имущество фермерского хозяйства принадлежит его членам на праве совместной собственности, если соглашением между ними не установлено иное.</w:t>
      </w:r>
      <w:r>
        <w:rPr>
          <w:rFonts w:ascii="Segoe UI" w:hAnsi="Segoe UI" w:cs="Segoe UI"/>
          <w:iCs/>
        </w:rPr>
      </w:r>
    </w:p>
    <w:p>
      <w:pPr>
        <w:ind w:firstLine="709"/>
        <w:jc w:val="both"/>
        <w:widowControl w:val="off"/>
        <w:rPr>
          <w:rFonts w:ascii="Segoe UI" w:hAnsi="Segoe UI" w:cs="Segoe UI"/>
          <w:iCs/>
        </w:rPr>
        <w:outlineLvl w:val="0"/>
        <w:suppressLineNumbers w:val="0"/>
      </w:pPr>
      <w:r>
        <w:rPr>
          <w:rFonts w:ascii="Segoe UI" w:hAnsi="Segoe UI" w:cs="Segoe UI"/>
          <w:iCs/>
        </w:rPr>
        <w:t xml:space="preserve">Но самый распространенный пример участников совместной собственности - супруги. Такой собственностью, за некоторыми исключениями, является имущество, нажитое ими во время брака, если только это не изменено брачным договором.</w:t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96</cp:revision>
  <dcterms:created xsi:type="dcterms:W3CDTF">2023-06-13T09:29:00Z</dcterms:created>
  <dcterms:modified xsi:type="dcterms:W3CDTF">2024-12-27T07:37:37Z</dcterms:modified>
</cp:coreProperties>
</file>