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Нужно ли получать согласие супруга продавца перед сделкой с недвижимостью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Согласно статье 34 Семейного кодекса Российской Федерации (далее – СК РФ) имущество, нажитое супругами во время брака, является их совместной собственностью.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Общим имуществом супругов являются приобретенные за счет общих доходов супругов в том силе движимые и недвижимые вещи (п. 2 ст. 34 СК РФ).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силу п. 1 ст. 35 СК РФ владение, пользование и распоряжение общим имуществом супругов осуществляются по обоюдному согласию супругов. При совершении одним из супругов сделки по распоряжению общим имуществом супругов предполагается, что он действует с согла</w:t>
      </w:r>
      <w:r>
        <w:rPr>
          <w:rFonts w:ascii="Segoe UI" w:hAnsi="Segoe UI"/>
          <w:sz w:val="24"/>
          <w:szCs w:val="24"/>
          <w14:ligatures w14:val="none"/>
        </w:rPr>
        <w:t xml:space="preserve">сия другого супруга.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 общему правилу, закрепленному в п. 3 ст. 35 СК РФ, для заключения одним из супругов сделки по распоряжению имуществом, права на которое подлежат государственной регистрации, сделки, для которой законом установлена обязательная нотариальная форма, или сде</w:t>
      </w:r>
      <w:r>
        <w:rPr>
          <w:rFonts w:ascii="Segoe UI" w:hAnsi="Segoe UI"/>
          <w:sz w:val="24"/>
          <w:szCs w:val="24"/>
          <w14:ligatures w14:val="none"/>
        </w:rPr>
        <w:t xml:space="preserve">лки, подлежащей обязательной государственной регистрации, необходимо получить нотариально удостоверенное согласие другого супруга.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Чем же опасна сделка без предоставления согласия супруга продавца?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Переход права собственности будет зарегистрирован и без нотариально удостоверенного согласия супруга продавца. В этом случае в Единый государственный реестр недвижимости вносится отметка, что согласие не предоставлено. Такая ситуация опасна, особенно для по</w:t>
      </w:r>
      <w:r>
        <w:rPr>
          <w:rFonts w:ascii="Segoe UI" w:hAnsi="Segoe UI"/>
          <w:sz w:val="24"/>
          <w:szCs w:val="24"/>
          <w14:ligatures w14:val="none"/>
        </w:rPr>
        <w:t xml:space="preserve">купателя.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 закону супруг, которого не предупредили о продаже недвижимости, имеет право в течение года с момента, когда ему стало известно о нарушении его прав оспорить сделку (ст. 35 СК РФ) по мотивам отсутствия его согласия.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такой ситуации сделка может быть признана недействительной, и квартиру потребуется передать обратно в собственность прежних владельцев – супругов.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Покупателю придется судиться с продавцом, чтобы вернуть деньги. Чтобы не потерять квартиру, проверяйте перед покупкой все документы. Если ее купили в браке, требуйте, чтобы было оформлено нотариально удостоверенное согласие супруга на продажу.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96</cp:revision>
  <dcterms:created xsi:type="dcterms:W3CDTF">2023-06-13T09:29:00Z</dcterms:created>
  <dcterms:modified xsi:type="dcterms:W3CDTF">2024-12-27T07:32:34Z</dcterms:modified>
</cp:coreProperties>
</file>