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Наполнение ЕГРН сведениями – одно из ключевых направлений работы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276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Наполнение Единого государственного реестра недвижимости (ЕГРН) необходимыми и полными сведениями – одно из приоритетных направлений деятельности Карельского Росреестра.</w:t>
      </w:r>
      <w:r>
        <w:rPr>
          <w:rFonts w:ascii="Segoe UI" w:hAnsi="Segoe UI"/>
          <w:sz w:val="24"/>
          <w:szCs w:val="24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Управлением Росреестра по Республике Карелия совместно с Правительством Республики 12 июня 2024 утверждена Региональная дорожная карта реализации мероприятий по проекту «Наполнение Единого государственного реестра недвижимости необходимыми сведениями» на 20</w:t>
      </w:r>
      <w:r>
        <w:rPr>
          <w:rFonts w:ascii="Segoe UI" w:hAnsi="Segoe UI"/>
          <w:sz w:val="24"/>
          <w:szCs w:val="24"/>
        </w:rPr>
        <w:t xml:space="preserve">24-2026 годы.</w:t>
      </w:r>
      <w:r>
        <w:rPr>
          <w:rFonts w:ascii="Segoe UI" w:hAnsi="Segoe UI"/>
          <w:sz w:val="24"/>
          <w:szCs w:val="24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С 1 марта 2025 года вступает в силу норма Федерального закона от 26.12.2024 № 487-ФЗ «О внесении изменений в отдельные законодательные акты Российской Федерации», в соответствии с которой продать, подарить земельный участок, а также совершить с ним иную сде</w:t>
      </w:r>
      <w:r>
        <w:rPr>
          <w:rFonts w:ascii="Segoe UI" w:hAnsi="Segoe UI"/>
          <w:sz w:val="24"/>
          <w:szCs w:val="24"/>
        </w:rPr>
        <w:t xml:space="preserve">лку, можно будет только в случае, если в ЕГРН содержатся сведения о местоположении его границ.</w:t>
      </w:r>
      <w:r>
        <w:rPr>
          <w:rFonts w:ascii="Segoe UI" w:hAnsi="Segoe UI"/>
          <w:sz w:val="24"/>
          <w:szCs w:val="24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Без установленных в соответствии с действующим законодательством границ не получится поставить на кадастровый учет или оформить права также на здание, сооружение или объект незавершенного строительства, которые расположены на таком земельном участке. </w:t>
      </w:r>
      <w:r>
        <w:rPr>
          <w:rFonts w:ascii="Segoe UI" w:hAnsi="Segoe UI"/>
          <w:sz w:val="24"/>
          <w:szCs w:val="24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За 2024 год в ЕГРН внесены сведения о границах 2625 земельных участков, а доля участков с границами составляет 69,8 % от всех земельных участков, сведения о которых содержатся в ЕГРН.</w:t>
      </w:r>
      <w:r>
        <w:rPr>
          <w:rFonts w:ascii="Segoe UI" w:hAnsi="Segoe UI"/>
          <w:sz w:val="24"/>
          <w:szCs w:val="24"/>
        </w:rPr>
      </w:r>
    </w:p>
    <w:p>
      <w:pPr>
        <w:widowControl w:val="off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Проверить наличие или отсутствие в ЕГРН сведений о границах земельного участка можно с помощью публичной кадастровой карты либо запросив выписку из ЕГРН как в электронном, так и в бумажном виде.</w:t>
      </w:r>
      <w:r>
        <w:rPr>
          <w:rFonts w:ascii="Segoe UI" w:hAnsi="Segoe UI"/>
          <w:sz w:val="24"/>
          <w:szCs w:val="24"/>
        </w:rPr>
      </w:r>
    </w:p>
    <w:p>
      <w:pPr>
        <w:widowControl w:val="off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Внесение в ЕГРН сведений о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такого участка представляет в орган регистрации прав.</w:t>
      </w:r>
      <w:r>
        <w:rPr>
          <w:rFonts w:ascii="Segoe UI" w:hAnsi="Segoe UI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1133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47</cp:revision>
  <dcterms:created xsi:type="dcterms:W3CDTF">2023-06-13T09:29:00Z</dcterms:created>
  <dcterms:modified xsi:type="dcterms:W3CDTF">2025-03-03T08:08:21Z</dcterms:modified>
</cp:coreProperties>
</file>