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6"/>
        <w:ind w:left="0" w:right="0" w:firstLine="0"/>
        <w:jc w:val="left"/>
        <w:spacing w:before="0" w:after="240" w:line="300" w:lineRule="auto"/>
        <w:widowControl/>
      </w:pPr>
      <w:r/>
      <w:r/>
    </w:p>
    <w:p>
      <w:pPr>
        <w:pStyle w:val="756"/>
        <w:ind w:left="0" w:right="0" w:firstLine="284"/>
        <w:jc w:val="center"/>
        <w:spacing w:before="0" w:after="240" w:line="300" w:lineRule="auto"/>
        <w:widowControl/>
      </w:pPr>
      <w:r>
        <w:rPr>
          <w:rFonts w:ascii="Segoe UI" w:hAnsi="Segoe UI" w:cs="Segoe UI"/>
          <w:b/>
          <w:sz w:val="32"/>
          <w:szCs w:val="32"/>
        </w:rPr>
        <w:t xml:space="preserve">Причины отсутствия земельного участка на Публичной кадастровой карте</w:t>
      </w:r>
      <w:r/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/>
      <w:r/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Публичная кадастрова</w:t>
      </w:r>
      <w:r>
        <w:rPr>
          <w:rFonts w:ascii="Segoe UI" w:hAnsi="Segoe UI" w:cs="Segoe UI"/>
        </w:rPr>
        <w:t xml:space="preserve">я карта — это официальный справочно-информационный сервис Росреестра, который позволяет бесплатно получить общедоступную информацию по объектам недвижимости, у которых установлены границы в соответствии с действующим законодательством Российской Федерации.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С 23 декабря 2024 года Публичная кадастровая карта  доступна для всех пользователей на портале Национальной системы пространственных данных (НСПД).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При указании в поисковой строке адреса официального сайта Публичной кадастровой карты pkk.rosreestr.ru сервис перенаправит Вас на платформу Национальной системы пространственных данных, размещенную по адресу https://nspd.gov.ru/map. 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Сервисы, расположенные по иным электронным адресам, являются сайтами-двойниками Публичной кадастровой карты.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0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ользователи Публичной кадастровой карты могут просмотреть информацию о расположении границ населенных пунктов, зон с особыми условиями использования территории, земельных участков, зданий, сооружений. Получить актуальные сведения о характеристиках объекта </w:t>
      </w:r>
      <w:r>
        <w:rPr>
          <w:rFonts w:ascii="Segoe UI" w:hAnsi="Segoe UI" w:cs="Segoe UI"/>
        </w:rPr>
        <w:t xml:space="preserve">недвижимости: кадастровом номере, площади, кадастровой стоимости, форме собственности, виде разрешенного использования земельного участка. Ознакомиться с информацией  о свободных земельных участках для жилищного строительства и для туристской деятельности.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Бывают случаи, когда собственники земельных участков не могут увидеть свой земельный участок на Публичной кадастровой карте, этому могут служить различные причины</w:t>
      </w:r>
      <w:r>
        <w:rPr>
          <w:rFonts w:ascii="Segoe UI" w:hAnsi="Segoe UI" w:cs="Segoe UI"/>
        </w:rPr>
        <w:t xml:space="preserve">: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</w:rPr>
        <w:t xml:space="preserve">- Отсутствие сведений о таком земельном участке в Едином государственном реестре недвижимости</w:t>
      </w:r>
      <w:r>
        <w:rPr>
          <w:rFonts w:ascii="Segoe UI" w:hAnsi="Segoe UI" w:cs="Segoe UI"/>
        </w:rPr>
        <w:t xml:space="preserve">;</w:t>
      </w:r>
      <w:r>
        <w:rPr>
          <w:rFonts w:ascii="Segoe UI" w:hAnsi="Segoe UI" w:cs="Segoe UI"/>
        </w:rPr>
        <w:t xml:space="preserve"> </w:t>
      </w:r>
      <w:r/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</w:rPr>
        <w:t xml:space="preserve">- Сведения о земельных участках внесены на основании правоустанавливающих или правоподтверждающих документов с декларативной площадью и кадастровые работы в отношении них никогда не проводились</w:t>
      </w:r>
      <w:r>
        <w:rPr>
          <w:rFonts w:ascii="Segoe UI" w:hAnsi="Segoe UI" w:cs="Segoe UI"/>
        </w:rPr>
        <w:t xml:space="preserve">;</w:t>
      </w:r>
      <w:r>
        <w:rPr>
          <w:rFonts w:ascii="Segoe UI" w:hAnsi="Segoe UI" w:cs="Segoe UI"/>
        </w:rPr>
        <w:t xml:space="preserve"> </w:t>
      </w:r>
      <w:r/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- Межевание земельных участков проводилось, при этом координаты характерных точек границ определены в условной системе координат, отличной от МСК-10.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В данном случае установить границы земельных участков возможно, обратившись к кадастровому инженеру для подготовки межевого плана, для дальнейшей подачи документов в Росреестр.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675"/>
        <w:numPr>
          <w:ilvl w:val="0"/>
          <w:numId w:val="0"/>
        </w:numPr>
        <w:ind w:left="0" w:firstLine="0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675"/>
        <w:numPr>
          <w:ilvl w:val="0"/>
          <w:numId w:val="0"/>
        </w:numPr>
        <w:ind w:left="0"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75"/>
        <w:numPr>
          <w:ilvl w:val="0"/>
          <w:numId w:val="0"/>
        </w:numPr>
        <w:ind w:left="0" w:firstLine="567"/>
        <w:jc w:val="right"/>
        <w:shd w:val="clear" w:color="auto" w:fill="ffffff"/>
        <w:rPr>
          <w:rStyle w:val="685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685"/>
          <w:rFonts w:ascii="Segoe UI" w:hAnsi="Segoe UI" w:cs="Segoe UI"/>
          <w:color w:val="2a5885"/>
          <w:shd w:val="clear" w:color="auto" w:fill="ffffff"/>
        </w:rPr>
      </w:r>
      <w:r>
        <w:rPr>
          <w:rStyle w:val="685"/>
          <w:rFonts w:ascii="Segoe UI" w:hAnsi="Segoe UI" w:cs="Segoe UI"/>
          <w:color w:val="2a5885"/>
          <w:shd w:val="clear" w:color="auto" w:fill="ffffff"/>
        </w:rPr>
      </w:r>
    </w:p>
    <w:p>
      <w:pPr>
        <w:pStyle w:val="675"/>
        <w:numPr>
          <w:ilvl w:val="0"/>
          <w:numId w:val="0"/>
        </w:numPr>
        <w:ind w:left="0" w:firstLine="567"/>
        <w:jc w:val="right"/>
        <w:spacing w:line="276" w:lineRule="auto"/>
        <w:shd w:val="clear" w:color="auto" w:fill="ffffff"/>
        <w:outlineLvl w:val="0"/>
      </w:pPr>
      <w:r>
        <w:rPr>
          <w:rStyle w:val="68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752"/>
        <w:ind w:firstLine="0"/>
        <w:jc w:val="both"/>
        <w:pBdr>
          <w:bottom w:val="single" w:color="000000" w:sz="12" w:space="1"/>
        </w:pBdr>
      </w:pPr>
      <w:r/>
      <w:r/>
    </w:p>
    <w:p>
      <w:pPr>
        <w:pStyle w:val="675"/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75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75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75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75"/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676">
    <w:name w:val="Heading 1"/>
    <w:basedOn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yperlink"/>
    <w:uiPriority w:val="99"/>
    <w:unhideWhenUsed/>
    <w:rPr>
      <w:color w:val="0000ff"/>
      <w:u w:val="single"/>
    </w:rPr>
  </w:style>
  <w:style w:type="character" w:styleId="686">
    <w:name w:val="Символ сноски"/>
    <w:basedOn w:val="710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Символ концевой сноски"/>
    <w:basedOn w:val="710"/>
    <w:uiPriority w:val="99"/>
    <w:semiHidden/>
    <w:unhideWhenUsed/>
    <w:qFormat/>
    <w:rPr>
      <w:vertAlign w:val="superscript"/>
    </w:rPr>
  </w:style>
  <w:style w:type="character" w:styleId="689">
    <w:name w:val="endnote reference"/>
    <w:rPr>
      <w:vertAlign w:val="superscript"/>
    </w:rPr>
  </w:style>
  <w:style w:type="character" w:styleId="690">
    <w:name w:val="Heading 1 Char"/>
    <w:basedOn w:val="710"/>
    <w:uiPriority w:val="9"/>
    <w:qFormat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710"/>
    <w:uiPriority w:val="9"/>
    <w:qFormat/>
    <w:rPr>
      <w:rFonts w:ascii="Arial" w:hAnsi="Arial" w:eastAsia="Arial" w:cs="Arial"/>
      <w:sz w:val="34"/>
    </w:rPr>
  </w:style>
  <w:style w:type="character" w:styleId="692">
    <w:name w:val="Heading 3 Char"/>
    <w:basedOn w:val="710"/>
    <w:uiPriority w:val="9"/>
    <w:qFormat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71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71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71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6">
    <w:name w:val="Heading 7 Char"/>
    <w:basedOn w:val="71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71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8">
    <w:name w:val="Heading 9 Char"/>
    <w:basedOn w:val="71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9">
    <w:name w:val="Title Char"/>
    <w:basedOn w:val="710"/>
    <w:uiPriority w:val="10"/>
    <w:qFormat/>
    <w:rPr>
      <w:sz w:val="48"/>
      <w:szCs w:val="48"/>
    </w:rPr>
  </w:style>
  <w:style w:type="character" w:styleId="700">
    <w:name w:val="Subtitle Char"/>
    <w:basedOn w:val="710"/>
    <w:uiPriority w:val="11"/>
    <w:qFormat/>
    <w:rPr>
      <w:sz w:val="24"/>
      <w:szCs w:val="24"/>
    </w:rPr>
  </w:style>
  <w:style w:type="character" w:styleId="701">
    <w:name w:val="Quote Char"/>
    <w:uiPriority w:val="29"/>
    <w:qFormat/>
    <w:rPr>
      <w:i/>
    </w:rPr>
  </w:style>
  <w:style w:type="character" w:styleId="702">
    <w:name w:val="Intense Quote Char"/>
    <w:uiPriority w:val="30"/>
    <w:qFormat/>
    <w:rPr>
      <w:i/>
    </w:rPr>
  </w:style>
  <w:style w:type="character" w:styleId="703">
    <w:name w:val="Header Char"/>
    <w:basedOn w:val="710"/>
    <w:uiPriority w:val="99"/>
    <w:qFormat/>
  </w:style>
  <w:style w:type="character" w:styleId="704">
    <w:name w:val="Footer Char"/>
    <w:basedOn w:val="710"/>
    <w:uiPriority w:val="99"/>
    <w:qFormat/>
  </w:style>
  <w:style w:type="character" w:styleId="705">
    <w:name w:val="Caption Char"/>
    <w:uiPriority w:val="99"/>
    <w:qFormat/>
  </w:style>
  <w:style w:type="character" w:styleId="706">
    <w:name w:val="Footnote Text Char"/>
    <w:uiPriority w:val="99"/>
    <w:qFormat/>
    <w:rPr>
      <w:sz w:val="18"/>
    </w:rPr>
  </w:style>
  <w:style w:type="character" w:styleId="707">
    <w:name w:val="Footnote Characters"/>
    <w:uiPriority w:val="99"/>
    <w:unhideWhenUsed/>
    <w:qFormat/>
    <w:rPr>
      <w:vertAlign w:val="superscript"/>
    </w:rPr>
  </w:style>
  <w:style w:type="character" w:styleId="708">
    <w:name w:val="Endnote Text Char"/>
    <w:uiPriority w:val="99"/>
    <w:qFormat/>
    <w:rPr>
      <w:sz w:val="20"/>
    </w:rPr>
  </w:style>
  <w:style w:type="character" w:styleId="709">
    <w:name w:val="Endnote Characters"/>
    <w:uiPriority w:val="99"/>
    <w:semiHidden/>
    <w:unhideWhenUsed/>
    <w:qFormat/>
    <w:rPr>
      <w:vertAlign w:val="superscript"/>
    </w:rPr>
  </w:style>
  <w:style w:type="character" w:styleId="710" w:default="1">
    <w:name w:val="Default Paragraph Font"/>
    <w:uiPriority w:val="1"/>
    <w:semiHidden/>
    <w:unhideWhenUsed/>
    <w:qFormat/>
  </w:style>
  <w:style w:type="character" w:styleId="711" w:customStyle="1">
    <w:name w:val="WW8Num1z0"/>
    <w:qFormat/>
    <w:rPr>
      <w:rFonts w:ascii="Wingdings" w:hAnsi="Wingdings" w:cs="Wingdings"/>
      <w:sz w:val="23"/>
      <w:szCs w:val="23"/>
    </w:rPr>
  </w:style>
  <w:style w:type="character" w:styleId="712" w:customStyle="1">
    <w:name w:val="WW8Num2z0"/>
    <w:qFormat/>
    <w:rPr>
      <w:rFonts w:ascii="Wingdings" w:hAnsi="Wingdings" w:cs="Wingdings"/>
      <w:sz w:val="23"/>
      <w:szCs w:val="23"/>
    </w:rPr>
  </w:style>
  <w:style w:type="character" w:styleId="713" w:customStyle="1">
    <w:name w:val="WW8Num3z0"/>
    <w:qFormat/>
    <w:rPr>
      <w:rFonts w:ascii="Wingdings" w:hAnsi="Wingdings" w:cs="Wingdings"/>
    </w:rPr>
  </w:style>
  <w:style w:type="character" w:styleId="714" w:customStyle="1">
    <w:name w:val="WW8Num4z0"/>
    <w:qFormat/>
  </w:style>
  <w:style w:type="character" w:styleId="715" w:customStyle="1">
    <w:name w:val="Основной шрифт абзаца1"/>
    <w:qFormat/>
  </w:style>
  <w:style w:type="character" w:styleId="716" w:customStyle="1">
    <w:name w:val="Верхний колонтитул Знак"/>
    <w:basedOn w:val="715"/>
    <w:qFormat/>
  </w:style>
  <w:style w:type="character" w:styleId="717" w:customStyle="1">
    <w:name w:val="Нижний колонтитул Знак"/>
    <w:basedOn w:val="715"/>
    <w:qFormat/>
  </w:style>
  <w:style w:type="character" w:styleId="71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719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720">
    <w:name w:val="Выделение"/>
    <w:qFormat/>
    <w:rPr>
      <w:i/>
      <w:iCs/>
    </w:rPr>
  </w:style>
  <w:style w:type="character" w:styleId="721" w:customStyle="1">
    <w:name w:val="WW-Интернет-ссылка"/>
    <w:qFormat/>
    <w:rPr>
      <w:color w:val="0000ff"/>
      <w:u w:val="single"/>
    </w:rPr>
  </w:style>
  <w:style w:type="character" w:styleId="722">
    <w:name w:val="Line Number"/>
  </w:style>
  <w:style w:type="paragraph" w:styleId="723" w:customStyle="1">
    <w:name w:val="Заголовок"/>
    <w:basedOn w:val="675"/>
    <w:next w:val="72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24">
    <w:name w:val="Body Text"/>
    <w:basedOn w:val="675"/>
    <w:pPr>
      <w:spacing w:before="0" w:after="140" w:line="276" w:lineRule="auto"/>
    </w:pPr>
  </w:style>
  <w:style w:type="paragraph" w:styleId="725">
    <w:name w:val="List"/>
    <w:basedOn w:val="724"/>
    <w:rPr>
      <w:rFonts w:ascii="PT Astra Serif" w:hAnsi="PT Astra Serif" w:cs="Noto Sans Devanagari"/>
    </w:rPr>
  </w:style>
  <w:style w:type="paragraph" w:styleId="726">
    <w:name w:val="Caption"/>
    <w:basedOn w:val="675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727">
    <w:name w:val="Указатель"/>
    <w:basedOn w:val="675"/>
    <w:qFormat/>
    <w:pPr>
      <w:suppressLineNumbers/>
    </w:pPr>
    <w:rPr>
      <w:rFonts w:cs="Mangal"/>
    </w:rPr>
  </w:style>
  <w:style w:type="paragraph" w:styleId="72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29">
    <w:name w:val="Title"/>
    <w:basedOn w:val="67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75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75"/>
    <w:uiPriority w:val="29"/>
    <w:qFormat/>
    <w:pPr>
      <w:ind w:left="720" w:right="720" w:firstLine="0"/>
    </w:pPr>
    <w:rPr>
      <w:i/>
    </w:rPr>
  </w:style>
  <w:style w:type="paragraph" w:styleId="732">
    <w:name w:val="Intense Quote"/>
    <w:basedOn w:val="67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4">
    <w:name w:val="endnote text"/>
    <w:basedOn w:val="67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5">
    <w:name w:val="toc 1"/>
    <w:basedOn w:val="675"/>
    <w:uiPriority w:val="39"/>
    <w:unhideWhenUsed/>
    <w:pPr>
      <w:ind w:left="0" w:right="0" w:firstLine="0"/>
      <w:spacing w:before="0" w:after="57"/>
    </w:pPr>
  </w:style>
  <w:style w:type="paragraph" w:styleId="736">
    <w:name w:val="toc 2"/>
    <w:basedOn w:val="675"/>
    <w:uiPriority w:val="39"/>
    <w:unhideWhenUsed/>
    <w:pPr>
      <w:ind w:left="283" w:right="0" w:firstLine="0"/>
      <w:spacing w:before="0" w:after="57"/>
    </w:pPr>
  </w:style>
  <w:style w:type="paragraph" w:styleId="737">
    <w:name w:val="toc 3"/>
    <w:basedOn w:val="675"/>
    <w:uiPriority w:val="39"/>
    <w:unhideWhenUsed/>
    <w:pPr>
      <w:ind w:left="567" w:right="0" w:firstLine="0"/>
      <w:spacing w:before="0" w:after="57"/>
    </w:pPr>
  </w:style>
  <w:style w:type="paragraph" w:styleId="738">
    <w:name w:val="toc 4"/>
    <w:basedOn w:val="675"/>
    <w:uiPriority w:val="39"/>
    <w:unhideWhenUsed/>
    <w:pPr>
      <w:ind w:left="850" w:right="0" w:firstLine="0"/>
      <w:spacing w:before="0" w:after="57"/>
    </w:pPr>
  </w:style>
  <w:style w:type="paragraph" w:styleId="739">
    <w:name w:val="toc 5"/>
    <w:basedOn w:val="675"/>
    <w:uiPriority w:val="39"/>
    <w:unhideWhenUsed/>
    <w:pPr>
      <w:ind w:left="1134" w:right="0" w:firstLine="0"/>
      <w:spacing w:before="0" w:after="57"/>
    </w:pPr>
  </w:style>
  <w:style w:type="paragraph" w:styleId="740">
    <w:name w:val="toc 6"/>
    <w:basedOn w:val="675"/>
    <w:uiPriority w:val="39"/>
    <w:unhideWhenUsed/>
    <w:pPr>
      <w:ind w:left="1417" w:right="0" w:firstLine="0"/>
      <w:spacing w:before="0" w:after="57"/>
    </w:pPr>
  </w:style>
  <w:style w:type="paragraph" w:styleId="741">
    <w:name w:val="toc 7"/>
    <w:basedOn w:val="675"/>
    <w:uiPriority w:val="39"/>
    <w:unhideWhenUsed/>
    <w:pPr>
      <w:ind w:left="1701" w:right="0" w:firstLine="0"/>
      <w:spacing w:before="0" w:after="57"/>
    </w:pPr>
  </w:style>
  <w:style w:type="paragraph" w:styleId="742">
    <w:name w:val="toc 8"/>
    <w:basedOn w:val="675"/>
    <w:uiPriority w:val="39"/>
    <w:unhideWhenUsed/>
    <w:pPr>
      <w:ind w:left="1984" w:right="0" w:firstLine="0"/>
      <w:spacing w:before="0" w:after="57"/>
    </w:pPr>
  </w:style>
  <w:style w:type="paragraph" w:styleId="743">
    <w:name w:val="toc 9"/>
    <w:basedOn w:val="675"/>
    <w:uiPriority w:val="39"/>
    <w:unhideWhenUsed/>
    <w:pPr>
      <w:ind w:left="2268" w:right="0" w:firstLine="0"/>
      <w:spacing w:before="0" w:after="57"/>
    </w:pPr>
  </w:style>
  <w:style w:type="paragraph" w:styleId="744">
    <w:name w:val="Index Heading"/>
    <w:basedOn w:val="723"/>
  </w:style>
  <w:style w:type="paragraph" w:styleId="74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746">
    <w:name w:val="table of figures"/>
    <w:basedOn w:val="675"/>
    <w:uiPriority w:val="99"/>
    <w:unhideWhenUsed/>
    <w:qFormat/>
    <w:pPr>
      <w:spacing w:before="0" w:after="0" w:afterAutospacing="0"/>
    </w:pPr>
  </w:style>
  <w:style w:type="paragraph" w:styleId="747" w:customStyle="1">
    <w:name w:val="Указатель1"/>
    <w:basedOn w:val="675"/>
    <w:qFormat/>
    <w:pPr>
      <w:suppressLineNumbers/>
    </w:pPr>
    <w:rPr>
      <w:rFonts w:ascii="PT Astra Serif" w:hAnsi="PT Astra Serif" w:cs="Noto Sans Devanagari"/>
    </w:rPr>
  </w:style>
  <w:style w:type="paragraph" w:styleId="748" w:customStyle="1">
    <w:name w:val="Колонтитул"/>
    <w:basedOn w:val="675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9">
    <w:name w:val="Header"/>
    <w:basedOn w:val="675"/>
    <w:rPr>
      <w:rFonts w:ascii="Calibri" w:hAnsi="Calibri" w:eastAsia="Calibri" w:cs="Calibri"/>
      <w:sz w:val="22"/>
      <w:szCs w:val="22"/>
    </w:rPr>
  </w:style>
  <w:style w:type="paragraph" w:styleId="750">
    <w:name w:val="Footer"/>
    <w:basedOn w:val="675"/>
  </w:style>
  <w:style w:type="paragraph" w:styleId="751">
    <w:name w:val="Balloon Text"/>
    <w:basedOn w:val="675"/>
    <w:qFormat/>
    <w:rPr>
      <w:rFonts w:ascii="Tahoma" w:hAnsi="Tahoma" w:eastAsia="Calibri" w:cs="Tahoma"/>
      <w:sz w:val="16"/>
      <w:szCs w:val="16"/>
    </w:rPr>
  </w:style>
  <w:style w:type="paragraph" w:styleId="752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753">
    <w:name w:val="List Paragraph"/>
    <w:basedOn w:val="675"/>
    <w:qFormat/>
    <w:pPr>
      <w:contextualSpacing/>
      <w:ind w:left="720" w:firstLine="0"/>
      <w:spacing w:before="0" w:after="0"/>
    </w:pPr>
    <w:rPr>
      <w:szCs w:val="20"/>
    </w:rPr>
  </w:style>
  <w:style w:type="paragraph" w:styleId="754" w:customStyle="1">
    <w:name w:val="Текст1"/>
    <w:basedOn w:val="675"/>
    <w:qFormat/>
    <w:rPr>
      <w:rFonts w:ascii="Consolas" w:hAnsi="Consolas" w:eastAsia="Calibri" w:cs="Consolas"/>
      <w:sz w:val="21"/>
      <w:szCs w:val="21"/>
    </w:rPr>
  </w:style>
  <w:style w:type="paragraph" w:styleId="755" w:customStyle="1">
    <w:name w:val="paragraph scxw163741632 bcx0"/>
    <w:basedOn w:val="675"/>
    <w:qFormat/>
    <w:pPr>
      <w:spacing w:before="280" w:after="280"/>
    </w:pPr>
  </w:style>
  <w:style w:type="paragraph" w:styleId="756" w:customStyle="1">
    <w:name w:val="Style2"/>
    <w:qFormat/>
    <w:pPr>
      <w:ind w:left="0" w:right="0" w:firstLine="704"/>
      <w:jc w:val="both"/>
      <w:keepLines w:val="0"/>
      <w:keepNext w:val="0"/>
      <w:pageBreakBefore w:val="0"/>
      <w:spacing w:before="0" w:beforeAutospacing="0" w:after="0" w:afterAutospacing="0" w:line="311" w:lineRule="exact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757" w:default="1">
    <w:name w:val="No List"/>
    <w:uiPriority w:val="99"/>
    <w:semiHidden/>
    <w:unhideWhenUsed/>
    <w:qFormat/>
  </w:style>
  <w:style w:type="table" w:styleId="75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20</cp:revision>
  <dcterms:created xsi:type="dcterms:W3CDTF">2024-12-18T12:15:00Z</dcterms:created>
  <dcterms:modified xsi:type="dcterms:W3CDTF">2025-03-20T12:15:04Z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