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5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95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95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12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ма</w:t>
      </w:r>
      <w:r>
        <w:rPr>
          <w:rFonts w:ascii="Segoe UI" w:hAnsi="Segoe UI" w:cs="Segoe UI"/>
          <w:b/>
          <w:sz w:val="32"/>
          <w:szCs w:val="32"/>
        </w:rPr>
        <w:t xml:space="preserve">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95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695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695"/>
        <w:contextualSpacing/>
        <w:ind w:firstLine="709"/>
        <w:jc w:val="both"/>
        <w:spacing w:line="360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По теме </w:t>
      </w:r>
      <w:r>
        <w:rPr>
          <w:rFonts w:ascii="Segoe UI" w:hAnsi="Segoe UI" w:cs="Segoe UI"/>
        </w:rPr>
        <w:t xml:space="preserve">«</w:t>
      </w:r>
      <w:r>
        <w:rPr>
          <w:rFonts w:ascii="Segoe UI" w:hAnsi="Segoe UI" w:cs="Segoe UI"/>
        </w:rPr>
        <w:t xml:space="preserve">Вопросы погашения задолженности по заработной плате организациями-банкротами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 консультирует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eastAsia="Calibri" w:cs="Segoe UI"/>
        </w:rPr>
        <w:t xml:space="preserve">о</w:t>
      </w:r>
      <w:r>
        <w:rPr>
          <w:rFonts w:ascii="Segoe UI" w:hAnsi="Segoe UI" w:eastAsia="Calibri" w:cs="Segoe UI"/>
        </w:rPr>
        <w:t xml:space="preserve">тдел правового обеспечения, по контролю (надзору) в сфере СРО</w:t>
      </w:r>
      <w:r>
        <w:rPr>
          <w:rFonts w:ascii="Segoe UI" w:hAnsi="Segoe UI" w:eastAsia="Calibri" w:cs="Segoe UI"/>
        </w:rPr>
        <w:t xml:space="preserve"> Управления Росреестра по Республике Карелия.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95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95"/>
        <w:ind w:firstLine="851"/>
        <w:jc w:val="center"/>
        <w:spacing w:line="360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</w:t>
      </w:r>
      <w:r>
        <w:rPr>
          <w:rFonts w:ascii="Segoe UI" w:hAnsi="Segoe UI" w:eastAsia="Calibri" w:cs="Segoe UI"/>
          <w:b/>
        </w:rPr>
        <w:t xml:space="preserve">он горячей линии: </w:t>
      </w:r>
      <w:r>
        <w:rPr>
          <w:rFonts w:ascii="Segoe UI" w:hAnsi="Segoe UI" w:eastAsia="Calibri" w:cs="Segoe UI"/>
          <w:b/>
        </w:rPr>
        <w:t xml:space="preserve">8 (8142) 76-20-03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95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5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5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5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706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706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706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706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695"/>
        <w:ind w:firstLine="709"/>
        <w:jc w:val="right"/>
        <w:shd w:val="clear" w:color="auto" w:fill="ffffff"/>
        <w:outlineLvl w:val="0"/>
      </w:pPr>
      <w:r/>
      <w:r/>
    </w:p>
    <w:p>
      <w:pPr>
        <w:pStyle w:val="695"/>
        <w:ind w:firstLine="709"/>
        <w:jc w:val="right"/>
        <w:shd w:val="clear" w:color="auto" w:fill="ffffff"/>
        <w:outlineLvl w:val="0"/>
      </w:pPr>
      <w:r/>
      <w:r/>
    </w:p>
    <w:p>
      <w:pPr>
        <w:pStyle w:val="695"/>
        <w:ind w:firstLine="709"/>
        <w:jc w:val="right"/>
        <w:shd w:val="clear" w:color="auto" w:fill="ffffff"/>
        <w:outlineLvl w:val="0"/>
      </w:pPr>
      <w:r/>
      <w:r/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705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705"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95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95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95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695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706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695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5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w:tab/>
    </w: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 xml:space="preserve">     </w:t>
    </w:r>
    <w:r>
      <w:rPr>
        <w:rFonts w:ascii="Segoe UI" w:hAnsi="Segoe UI" w:cs="Segoe UI"/>
        <w:b/>
        <w:sz w:val="36"/>
        <w:szCs w:val="36"/>
      </w:rPr>
      <w:tab/>
    </w:r>
    <w:r>
      <w:rPr>
        <w:rFonts w:ascii="Segoe UI" w:hAnsi="Segoe UI" w:cs="Segoe UI"/>
        <w:b/>
        <w:sz w:val="36"/>
        <w:szCs w:val="36"/>
      </w:rPr>
      <w:t xml:space="preserve">      </w:t>
    </w:r>
    <w:r>
      <w:rPr>
        <w:rFonts w:ascii="Segoe UI" w:hAnsi="Segoe UI" w:cs="Segoe UI"/>
        <w:b/>
        <w:sz w:val="36"/>
        <w:szCs w:val="36"/>
      </w:rPr>
      <w:t xml:space="preserve">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5"/>
    <w:next w:val="69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5"/>
    <w:next w:val="69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5"/>
    <w:next w:val="69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5"/>
    <w:next w:val="69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5"/>
    <w:next w:val="69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5"/>
    <w:next w:val="69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5"/>
    <w:next w:val="69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5"/>
    <w:next w:val="69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5"/>
    <w:next w:val="69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5"/>
    <w:next w:val="69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95"/>
    <w:next w:val="69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95"/>
    <w:next w:val="69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5"/>
    <w:next w:val="69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9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95"/>
    <w:next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9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95"/>
    <w:next w:val="69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5"/>
    <w:next w:val="69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5"/>
    <w:next w:val="69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5"/>
    <w:next w:val="69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5"/>
    <w:next w:val="69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5"/>
    <w:next w:val="69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5"/>
    <w:next w:val="69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5"/>
    <w:next w:val="69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5"/>
    <w:next w:val="69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5"/>
    <w:next w:val="695"/>
    <w:uiPriority w:val="99"/>
    <w:unhideWhenUsed/>
    <w:pPr>
      <w:spacing w:after="0" w:afterAutospacing="0"/>
    </w:pPr>
  </w:style>
  <w:style w:type="paragraph" w:styleId="695" w:default="1">
    <w:name w:val="Normal"/>
    <w:next w:val="695"/>
    <w:link w:val="695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96">
    <w:name w:val="Основной шрифт абзаца"/>
    <w:next w:val="696"/>
    <w:link w:val="695"/>
    <w:uiPriority w:val="1"/>
    <w:semiHidden/>
    <w:unhideWhenUsed/>
  </w:style>
  <w:style w:type="table" w:styleId="697">
    <w:name w:val="Обычная таблица"/>
    <w:next w:val="697"/>
    <w:link w:val="695"/>
    <w:uiPriority w:val="99"/>
    <w:semiHidden/>
    <w:unhideWhenUsed/>
    <w:qFormat/>
    <w:tblPr/>
  </w:style>
  <w:style w:type="numbering" w:styleId="698">
    <w:name w:val="Нет списка"/>
    <w:next w:val="698"/>
    <w:link w:val="695"/>
    <w:uiPriority w:val="99"/>
    <w:semiHidden/>
    <w:unhideWhenUsed/>
  </w:style>
  <w:style w:type="paragraph" w:styleId="699">
    <w:name w:val="Верхний колонтитул"/>
    <w:basedOn w:val="695"/>
    <w:next w:val="699"/>
    <w:link w:val="700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700">
    <w:name w:val="Верхний колонтитул Знак"/>
    <w:basedOn w:val="696"/>
    <w:next w:val="700"/>
    <w:link w:val="699"/>
    <w:uiPriority w:val="99"/>
  </w:style>
  <w:style w:type="paragraph" w:styleId="701">
    <w:name w:val="Нижний колонтитул"/>
    <w:basedOn w:val="695"/>
    <w:next w:val="701"/>
    <w:link w:val="702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702">
    <w:name w:val="Нижний колонтитул Знак"/>
    <w:basedOn w:val="696"/>
    <w:next w:val="702"/>
    <w:link w:val="701"/>
    <w:uiPriority w:val="99"/>
    <w:semiHidden/>
  </w:style>
  <w:style w:type="paragraph" w:styleId="703">
    <w:name w:val="Текст выноски"/>
    <w:basedOn w:val="695"/>
    <w:next w:val="703"/>
    <w:link w:val="704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704">
    <w:name w:val="Текст выноски Знак"/>
    <w:next w:val="704"/>
    <w:link w:val="703"/>
    <w:uiPriority w:val="99"/>
    <w:semiHidden/>
    <w:rPr>
      <w:rFonts w:ascii="Tahoma" w:hAnsi="Tahoma" w:cs="Tahoma"/>
      <w:sz w:val="16"/>
      <w:szCs w:val="16"/>
    </w:rPr>
  </w:style>
  <w:style w:type="paragraph" w:styleId="705">
    <w:name w:val="ConsPlusNormal"/>
    <w:next w:val="705"/>
    <w:link w:val="695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706">
    <w:name w:val="Гиперссылка"/>
    <w:next w:val="706"/>
    <w:link w:val="695"/>
    <w:rPr>
      <w:color w:val="0000ff"/>
      <w:u w:val="single"/>
    </w:rPr>
  </w:style>
  <w:style w:type="paragraph" w:styleId="707">
    <w:name w:val="Абзац списка"/>
    <w:basedOn w:val="695"/>
    <w:next w:val="707"/>
    <w:link w:val="695"/>
    <w:uiPriority w:val="34"/>
    <w:qFormat/>
    <w:pPr>
      <w:contextualSpacing/>
      <w:ind w:left="720"/>
    </w:pPr>
    <w:rPr>
      <w:szCs w:val="20"/>
    </w:rPr>
  </w:style>
  <w:style w:type="character" w:styleId="708">
    <w:name w:val="apple-converted-space"/>
    <w:basedOn w:val="696"/>
    <w:next w:val="708"/>
    <w:link w:val="695"/>
  </w:style>
  <w:style w:type="paragraph" w:styleId="709">
    <w:name w:val="paragraph scxw163741632 bcx0"/>
    <w:basedOn w:val="695"/>
    <w:next w:val="709"/>
    <w:link w:val="695"/>
    <w:pPr>
      <w:spacing w:before="100" w:beforeAutospacing="1" w:after="100" w:afterAutospacing="1"/>
    </w:pPr>
  </w:style>
  <w:style w:type="character" w:styleId="902" w:default="1">
    <w:name w:val="Default Paragraph Font"/>
    <w:uiPriority w:val="1"/>
    <w:semiHidden/>
    <w:unhideWhenUsed/>
  </w:style>
  <w:style w:type="numbering" w:styleId="903" w:default="1">
    <w:name w:val="No List"/>
    <w:uiPriority w:val="99"/>
    <w:semiHidden/>
    <w:unhideWhenUsed/>
  </w:style>
  <w:style w:type="table" w:styleId="90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18</cp:revision>
  <dcterms:created xsi:type="dcterms:W3CDTF">2023-03-15T06:33:00Z</dcterms:created>
  <dcterms:modified xsi:type="dcterms:W3CDTF">2025-04-23T06:49:53Z</dcterms:modified>
  <cp:version>983040</cp:version>
</cp:coreProperties>
</file>