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  <w:rPr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Второй Онежский форум недвижимости прошёл продуктивно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</w:rPr>
        <w:t xml:space="preserve">5 июня 2025 года в Петрозаводске состоялся второй специализированный форум для застройщиков и риелторов «Онежский форум недвижимости».</w:t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  <w:t xml:space="preserve">Участие приняли свыше 130 специалистов отрасли, среди которых были представители ведущих компаний-застройщиков республики, крупных агентств недвижимости, риелторы, эксперты-консультанты и иные профессиональные участники рынка жилья.</w:t>
      </w: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highlight w:val="none"/>
        </w:rPr>
        <w:t xml:space="preserve">Спикерами выступили представители Карельского Росреестра, Администрации города Петрозаводска, Нотариальной палаты Республики Карелия, Банка ВТБ, Отделения СФР по Республике Карелия, ГКУ РК «Управление земельными ресурсами», УМВД России по г. Петрозаводску, </w:t>
      </w:r>
      <w:r>
        <w:rPr>
          <w:rFonts w:ascii="Segoe UI" w:hAnsi="Segoe UI" w:cs="Segoe UI"/>
          <w:highlight w:val="none"/>
        </w:rPr>
        <w:t xml:space="preserve">АНО «Корпоративный Университет ВСК».</w:t>
      </w:r>
      <w:r>
        <w:rPr>
          <w:rFonts w:ascii="Segoe UI" w:hAnsi="Segoe UI" w:cs="Segoe UI"/>
          <w:highlight w:val="none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highlight w:val="none"/>
        </w:rPr>
        <w:t xml:space="preserve">Форум стал уникальной площадкой для обмена опытом, обсуждения законодательства, актуальных вопросов и тенденций развития жилищного строительства и сделок с недвижимостью.</w:t>
      </w:r>
      <w:r>
        <w:rPr>
          <w:rFonts w:ascii="Segoe UI" w:hAnsi="Segoe UI" w:cs="Segoe UI"/>
          <w:highlight w:val="none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widowControl w:val="false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  <w:t xml:space="preserve">Представители Управления Росреестра рассказали о последних изменениях в законодательстве, разъяснили ключевые аспекты взаимодействия органов власти и бизнеса, а также ответили на интересующие вопросы.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  <w:t xml:space="preserve">Руководитель Управления Росреестра по Республике Карелия Анна Кондратьева отметила: «Активное участие свидетельствует о востребованности проведения таких мероприятий. Наша задача, чтобы услуги в сфере недвижимости были безопасными, качественными и доступным</w:t>
      </w:r>
      <w:r>
        <w:rPr>
          <w:rFonts w:ascii="Segoe UI" w:hAnsi="Segoe UI" w:cs="Segoe UI"/>
          <w:highlight w:val="none"/>
        </w:rPr>
        <w:t xml:space="preserve">и».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  <w:t xml:space="preserve">Министр строительства, ЖКХ и энергетики Александр Федоричев подчеркнул важность проведения подобных форумов, в рамках которого участники могут обсудить вопросы развития рынка недвижимости и конструктивного взаимодействия органов власти и бизнеса.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szCs w:val="24"/>
          <w:highlight w:val="none"/>
        </w:rPr>
      </w:r>
      <w:r>
        <w:rPr>
          <w:rFonts w:ascii="Segoe UI" w:hAnsi="Segoe UI" w:cs="Segoe UI"/>
          <w:szCs w:val="24"/>
          <w:highlight w:val="none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60</cp:revision>
  <dcterms:created xsi:type="dcterms:W3CDTF">2023-06-13T09:29:00Z</dcterms:created>
  <dcterms:modified xsi:type="dcterms:W3CDTF">2025-06-05T13:50:39Z</dcterms:modified>
</cp:coreProperties>
</file>