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Повышение качества и сокращение сроков предоставление услуг</w:t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современном мире многие государственные услуги можно получить в электронном виде, что значительно экономит время и силы граждан. Одним из таких сервисов является портал Госуслуг (www.gosuslugi.ru), который предоставляет доступ к услугам Росреестра. В данн</w:t>
      </w:r>
      <w:r>
        <w:rPr>
          <w:rFonts w:ascii="Segoe UI" w:hAnsi="Segoe UI" w:cs="Segoe UI"/>
        </w:rPr>
        <w:t xml:space="preserve">ой статье мы рассмотрим, как получить услуги Росреестра через сайт Госуслуг, а также преимущества этого метода.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Преимущества получения услуг через сайт Госуслуг.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Удобство: можно подать заявку в любое время и из любого места, где есть доступ к сети интернет.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Экономия времени: отсутствует необходимость ожидания в очередях.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Прозрачность: возможность отслеживания статуса заявки в личном кабинете.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Снижение издержек: минимальное количество необходимых документов и упрощенный процесс подачи.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Как получить услуги Росреестра через сайт Госуслуг.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Шаг 1: регистрация на портале Госуслуги.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Для начала вам необходимо зарегистрироваться на портале Госуслуг. Если у вас уже есть аккаунт, перейдите к следующему шагу.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Шаг 2: в разделе «Услуги» воспользуйтесь поиском или выберите категорию «Недвижимость» и найдите нужную Вам услугу Росреестра. Изучите информацию о выбранной услуге и нажмите «Получить услугу». Следуйте подсказкам портала.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Шаг 3: заполните электронную форму заявки, указав все необходимые данные. Загрузите необходимые документы. Проверьте введенные данные на предмет ошибок.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Шаг 4: Оплата пошлины (если необходимо). Некоторые услуги могут требовать оплаты государственной пошлины. Если это так, следуйте инструкциям на сайте для ее оплаты. Доступные способы оплаты включают оплату банковской картой.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24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Шаг 5: Ожидание результата. После подачи заявки вы получите уведомление о её принятии. Через личный кабинет вы сможете отслеживать статус обработки вашей заявки.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62</cp:revision>
  <dcterms:created xsi:type="dcterms:W3CDTF">2023-06-13T09:29:00Z</dcterms:created>
  <dcterms:modified xsi:type="dcterms:W3CDTF">2025-06-23T07:19:17Z</dcterms:modified>
</cp:coreProperties>
</file>