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Регистрация недвижимости в ускоренном порядке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 1 января 2025 года заявители могут осуществить учетно-регистрационные действия в ускоренном порядке, при наличии в заявлении о государственной регистрации прав соответствующей отметки.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 перечнем видов регистрационных действий, осуществляемых в ускоренном порядке можно ознакомиться на официальном сайте Росреестра rosreestr.gov.ru.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«Ускоренной регистрацией могут воспользоваться как юридические, так и физические лица, за данную процедуру взимается повышенная государственная пошлина, при этом данная услуга предоставляется исключительно по инициативе самого заявителя. Новая возможность о</w:t>
      </w:r>
      <w:r>
        <w:rPr>
          <w:rFonts w:ascii="Segoe UI" w:hAnsi="Segoe UI" w:cs="Segoe UI"/>
        </w:rPr>
        <w:t xml:space="preserve">собенно актуальна для граждан, которым необходимо зарегистрировать свои права на недвижимость в гарантированно сжатые сроки. При наличии соответствующей отметки в заявлении регистрационные действия будут произведены в срок не более одного рабочего дня, след</w:t>
      </w:r>
      <w:r>
        <w:rPr>
          <w:rFonts w:ascii="Segoe UI" w:hAnsi="Segoe UI" w:cs="Segoe UI"/>
        </w:rPr>
        <w:t xml:space="preserve">ующего за днем приема заявления», - отметила руководителя Управления Росреестра по Республике Карелия Анна Кондратьева.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Подать документы на ускоренную регистрацию можно как в офисах МФЦ (необходимо проинформировать сотрудника осуществляющего прием документов о желании получить услугу в срок не более 1 рабочего дня), так и онлайн (заполнив необходимое поле о проведении ускоре</w:t>
      </w:r>
      <w:r>
        <w:rPr>
          <w:rFonts w:ascii="Segoe UI" w:hAnsi="Segoe UI" w:cs="Segoe UI"/>
        </w:rPr>
        <w:t xml:space="preserve">нной регистрации).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60</cp:revision>
  <dcterms:created xsi:type="dcterms:W3CDTF">2023-06-13T09:29:00Z</dcterms:created>
  <dcterms:modified xsi:type="dcterms:W3CDTF">2025-06-25T06:52:24Z</dcterms:modified>
</cp:coreProperties>
</file>