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  <w:t xml:space="preserve">Лесная амнистия</w:t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Управление Росреестра по Республике Карелия (далее - Управление) информирует о реализации на территории Республики Карелия норм Федерального закона от 29.07.2017 № 280-ФЗ «О внесении изменений в отдельные законодательные акты Российской Федерации в целях устранения</w:t>
      </w:r>
      <w:r>
        <w:rPr>
          <w:rFonts w:ascii="Segoe UI" w:hAnsi="Segoe UI" w:cs="Segoe UI"/>
        </w:rPr>
        <w:t xml:space="preserve"> противоречий в сведениях государственных реестров и установления принадлежности земельного участка к определенной категории земель» (Закон о «лесной амнистии»).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Закон направлен на устранение разногласий между сведениями Единого государственного реестра недвижимости (ЕГРН) и государственного лесного реестра (ГЛР), в том числе за счет мер введенной им в действие статьи 60.2 Федерального закона от 13.07.2015 № 218-ФЗ </w:t>
      </w:r>
      <w:r>
        <w:rPr>
          <w:rFonts w:ascii="Segoe UI" w:hAnsi="Segoe UI" w:cs="Segoe UI"/>
        </w:rPr>
        <w:t xml:space="preserve">«О государственной регистрации недвижимости» (Закон о регистрации).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рамках статьи 60.2 Закона о регистрации Управлением проводятся мероприятия по двум направлениям: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-по заявлениям граждан: исправление ошибок в записях кадастра недвижимости ЕГРН, связанных с наложением границ земельных участков на границы лесных участков и лесничеств;</w:t>
      </w:r>
      <w:r>
        <w:rPr>
          <w:rFonts w:ascii="Segoe UI" w:hAnsi="Segoe UI" w:cs="Segoe UI"/>
        </w:rPr>
      </w:r>
    </w:p>
    <w:p>
      <w:pPr>
        <w:ind w:left="0" w:firstLine="708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-по инициативе органа регистрации: самостоятельное выявление и удаление ошибочных и дублирующих записей в ЕГРН, касающихся наложений границ лесных участков друг на друга или на земельные участки.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начало реализации мер Закона о «лесной амнистии» превышение площади лесных участков в ЕГРН над ГЛР по Карелии составляло 5,5 млн. га.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01.06.2025 статья 60.2 Закона о регистрации применена 2739 раз, в том числе 2327 раз по принятым 1256 положительным решениям по обращениям заявителей, 410 раз - по инициативе органа и 2 – по решению суда.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В рамках реализации Закона о «лесной амнистии» к настоящему время превышение площади лесных участков в ЕГРН сокращено в регионе на 5,4 млн. га.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Управление обращает внимание, что нормы «лесной амнистии» направлены на обеспечение достоверности данных о земельных и лесных участках в ЕГРН и ГЛР, качество сведений о границах лесничеств и населенных пунктов в ЕГРН, а также сокращение количества споров и </w:t>
      </w:r>
      <w:r>
        <w:rPr>
          <w:rFonts w:ascii="Segoe UI" w:hAnsi="Segoe UI" w:cs="Segoe UI"/>
        </w:rPr>
        <w:t xml:space="preserve">судебных разбирательств.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61</cp:revision>
  <dcterms:created xsi:type="dcterms:W3CDTF">2023-06-13T09:29:00Z</dcterms:created>
  <dcterms:modified xsi:type="dcterms:W3CDTF">2025-06-27T05:32:26Z</dcterms:modified>
</cp:coreProperties>
</file>