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cs="Times New Roman"/>
          <w:b/>
          <w:bCs/>
          <w:i w:val="0"/>
          <w:sz w:val="26"/>
          <w:szCs w:val="26"/>
        </w:rPr>
        <w:t xml:space="preserve">Вопросы государственной регистрации договоров участия в долевом строительстве</w:t>
      </w:r>
      <w:r>
        <w:rPr>
          <w:rFonts w:ascii="Roboto" w:hAnsi="Roboto" w:eastAsia="Roboto" w:cs="Roboto"/>
          <w:b/>
          <w:bCs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</w:r>
    </w:p>
    <w:p>
      <w:pPr>
        <w:pStyle w:val="908"/>
        <w:ind w:firstLine="709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Одним из основных способов приобретения квартир в строящихся домах является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заключение договора участия в долевом строительстве (ДДУ)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shd w:val="clear" w:color="auto" w:fill="ffffff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bCs w:val="0"/>
          <w:i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С марта 2025 года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государственная регистрация ДДУ осуществляется на основании заявления сторон договора - застройщика, участника(ов) долевого строительства, представление которых допускается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только в форме электронного документа, подписанного усиленной квалифицированной электронной подписью (УКЭП) застройщика и участника долевого строительства либо их законных представи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телей.</w:t>
      </w:r>
      <w:r>
        <w:rPr>
          <w:bCs w:val="0"/>
          <w:i w:val="0"/>
          <w:color w:val="000000" w:themeColor="text1"/>
          <w:sz w:val="26"/>
          <w:szCs w:val="26"/>
        </w:rPr>
      </w:r>
      <w:r>
        <w:rPr>
          <w:bCs w:val="0"/>
          <w:i w:val="0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Застройщик не наделён правом переводить договор участия в долевом строительстве в форме документа на бумажном носителе в форму электронного образа документа путём его сканирования и заверения УКЭП. 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  <w:t xml:space="preserve">Заявление о государственной регистрации ДДУ  и прилагаемые к нему документы могут быть представлены на регистрацию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</w:rPr>
        <w:t xml:space="preserve">форме электронных документов, подписанных УКЭП, через Интернет, например посредством официального сайта Росреестра, в том числе через личный кабинет, размещенный на официальном сайте с использованием единой сист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</w:rPr>
        <w:t xml:space="preserve">емы идентификации и аутентификации (ЕСИА) или с использованием иных информационных технологий взаимодействия с органом регистрации прав.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Размер госпошлины за регистрацию ДДУ составляет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для организаций - 12 000 руб.;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для граждан - 700 руб.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Так, например, если ДДУ заключен между организацией и двумя физическими лицами (т.е. 3 лицами), каждое из которых является самостоятельным плательщиком государственной пошлины и, соответственно, участником налоговых 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 гражданских правоотношений, то согласно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:u w:val="none"/>
        </w:rPr>
        <w:t xml:space="preserve">пункту 2 статьи 333.18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 НК РФ государственная пошлина за государственную регистрацию такого договора должна быть уплачена каждым из них в равных долях, т.е. в размере 1/3 от размера государственной пошлины, установленной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</w:rPr>
        <w:t xml:space="preserve">для соответствующей категории плательщиков, соответственно застройщик уплачивает государственную пошлину в размере 4000 рублей, а физические лица – по 233 рубля каждый.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</w:rPr>
        <w:t xml:space="preserve">Срок государственной регистрации ДДУ, заключенного с первым участником долевого строительства, не должен превышать 7 рабочих дней со дня приема заявления, а последующих ДДУ - 5 рабочих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</w:rPr>
        <w:t xml:space="preserve">дней.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6"/>
          <w:szCs w:val="26"/>
        </w:rPr>
        <w:t xml:space="preserve">Проведенная государственная регистрация ДДУ удостоверяется выпиской из Единого государственного реестра недвижимости, направленной заявителям в электронной форме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r>
      <w:r>
        <w:rPr>
          <w:sz w:val="26"/>
          <w:szCs w:val="26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</cp:revision>
  <dcterms:created xsi:type="dcterms:W3CDTF">2024-07-05T06:34:00Z</dcterms:created>
  <dcterms:modified xsi:type="dcterms:W3CDTF">2025-07-11T08:21:50Z</dcterms:modified>
</cp:coreProperties>
</file>