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Что означает: использовать землю в соответствии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с видом разрешенного использования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мире недвижимости и земельных отношений часто встречается фраза "использовать землю в соответствии с видом разрешенного использования" (ВРИ). Но что она на самом деле означает? Понимание этого термина критически важно для любого владельца земли, потенциал</w:t>
      </w:r>
      <w:r>
        <w:rPr>
          <w:rFonts w:ascii="Segoe UI" w:hAnsi="Segoe UI" w:cs="Segoe UI"/>
        </w:rPr>
        <w:t xml:space="preserve">ьного покупателя или арендатора, поскольку он напрямую влияет на то, как можно использовать участок и какие постройки на нем можно возводить.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Что же означает это понятие?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"Вид разрешенного использования" (ВРИ) - это установленный законодательством перечень видов деятельности, которые разрешено осуществлять на конкретном земельном участке. Они закреплены в соответствующем классификаторе таких видов, утвержденном приказом Феде</w:t>
      </w:r>
      <w:r>
        <w:rPr>
          <w:rFonts w:ascii="Segoe UI" w:hAnsi="Segoe UI" w:cs="Segoe UI"/>
        </w:rPr>
        <w:t xml:space="preserve">ральной службы государственной регистрации, кадастра и картографии от 10.11.2020 №П/0412 и определяют, для каких целей можно использовать землю, какие объекты можно строить и какие виды деятельности можно вести. Информацию о виде разрешенного использования </w:t>
      </w:r>
      <w:r>
        <w:rPr>
          <w:rFonts w:ascii="Segoe UI" w:hAnsi="Segoe UI" w:cs="Segoe UI"/>
        </w:rPr>
        <w:t xml:space="preserve">можно уточнить из Единого государственного реестра недвижимости (ЕГРН), заказав выписку об основных характеристиках объекта недвижимости, либо воспользовавшись сервисом «Публичная кадастровая карта» (https://pkk.rosreestr.ru).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Использование земли не по назначению, то есть в нарушение установленного ВРИ, может привести к наложению штрафов на владельца земли. Если на участке возведены строения, не соответствующие ВРИ, суд может обязать владельца их снести.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Например, на участке с таким видом разрешенного использования, как «для индивидуального жилищного строительства» можно построить индивидуальный жилой дом, разместить гараж для собственных нужд и хозяйственные постройки, а также выращивать сельскохозяйственн</w:t>
      </w:r>
      <w:r>
        <w:rPr>
          <w:rFonts w:ascii="Segoe UI" w:hAnsi="Segoe UI" w:cs="Segoe UI"/>
        </w:rPr>
        <w:t xml:space="preserve">ые культуры.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А вот открыть магазин или автомастерскую на таком участке нельзя.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Важные моменты, которые необходимо учитывать перед покупкой или арендой земли: Внимательно изучите ВРИ земельного участка, убедитесь, что он соответствует вашим планам по его использованию.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Не начинайте строительство или деятельность, не соответствующую ВРИ, это может привести к серьезным последствиям.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«Использование земли в соответствии с видом разрешенного использования – это обязательное требование законодательства, которое необходимо соблюдать. Понимание вида разрешенного использования и его влияния на использование земельного участка является ключевы</w:t>
      </w:r>
      <w:r>
        <w:rPr>
          <w:rFonts w:ascii="Segoe UI" w:hAnsi="Segoe UI" w:cs="Segoe UI"/>
        </w:rPr>
        <w:t xml:space="preserve">м фактором для успешного владения и использования земли. Несоблюдение его требований может привести к серьезным юридическим и финансовым последствиям. Поэтому, прежде чем совершать какие-либо действия с земельным участком, необходимо тщательно изучить его в</w:t>
      </w:r>
      <w:r>
        <w:rPr>
          <w:rFonts w:ascii="Segoe UI" w:hAnsi="Segoe UI" w:cs="Segoe UI"/>
        </w:rPr>
        <w:t xml:space="preserve">ид разрешенного использования и убедиться, что ваши планы соответствуют установленным требованиям – пояснил заместитель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2025-08-19T11:29:38Z</dcterms:modified>
</cp:coreProperties>
</file>