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4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7"/>
        <w:pBdr/>
        <w:spacing/>
        <w:ind/>
        <w:jc w:val="center"/>
        <w:rPr>
          <w:highlight w:val="none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Жителями Республики Карелия не получено свыше 80 тысяч документов на недвижимость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pBdr/>
        <w:shd w:val="clear" w:color="auto" w:fill="ffffff"/>
        <w:spacing/>
        <w:ind w:firstLine="0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На сегодняшний день в архиве филиала ППК «Роскадастр» по Республике Карелия находится на хранении почти 82 тысячи пакетов невостребованных документов, и с каждым годом их количество растет.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Эксперты филиала напоминают жителям региона о необходимости своевременного получения документов, поданных в сфере кадастрового учета и регистрации прав собственности, в многофункциональных центрах предоставления гос</w:t>
      </w:r>
      <w:r>
        <w:rPr>
          <w:rFonts w:ascii="Segoe UI" w:hAnsi="Segoe UI" w:eastAsia="Calibri" w:cs="Segoe UI"/>
          <w:lang w:eastAsia="en-US"/>
        </w:rPr>
        <w:t xml:space="preserve">ударственных и муниципальных услуг (МФЦ).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Готовые документы на недвижимость хранятся в офисе МФЦ на протяжении 45 дней. </w:t>
      </w:r>
      <w:r>
        <w:rPr>
          <w:rFonts w:ascii="Segoe UI" w:hAnsi="Segoe UI" w:eastAsia="Calibri" w:cs="Segoe UI"/>
          <w:lang w:eastAsia="en-US"/>
        </w:rPr>
        <w:t xml:space="preserve">По истечении срока они передаются на хранение</w:t>
      </w:r>
      <w:r>
        <w:rPr>
          <w:rFonts w:ascii="Segoe UI" w:hAnsi="Segoe UI" w:eastAsia="Calibri" w:cs="Segoe UI"/>
          <w:lang w:eastAsia="en-US"/>
        </w:rPr>
        <w:t xml:space="preserve"> в офис филиала Компании, расположенный по адресу: г.Петрозаводск, пр.Первомайский, д.33.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«Забытые»</w:t>
      </w:r>
      <w:r>
        <w:rPr>
          <w:rFonts w:ascii="Segoe UI" w:hAnsi="Segoe UI" w:eastAsia="Calibri" w:cs="Segoe UI"/>
          <w:highlight w:val="none"/>
          <w:lang w:eastAsia="en-US"/>
        </w:rPr>
        <w:t xml:space="preserve"> документы можно запросить в любое удобное время, обратившись в офис МФЦ с заявлением о выдаче невостребованных документов. Специалисты МФЦ направят запрос в офис филиала ППК «Роскадастр». Эксперты регионального филиала в течение 3-х рабочих дней обес</w:t>
      </w:r>
      <w:r>
        <w:rPr>
          <w:rFonts w:ascii="Segoe UI" w:hAnsi="Segoe UI" w:eastAsia="Calibri" w:cs="Segoe UI"/>
          <w:highlight w:val="none"/>
          <w:lang w:eastAsia="en-US"/>
        </w:rPr>
        <w:t xml:space="preserve">печат подготовку и направление документов в офис МФЦ для выдачи заявителю.</w:t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Если возникла необходимость срочного </w:t>
      </w:r>
      <w:r>
        <w:rPr>
          <w:rFonts w:ascii="Segoe UI" w:hAnsi="Segoe UI" w:eastAsia="Calibri" w:cs="Segoe UI"/>
          <w:highlight w:val="none"/>
          <w:lang w:eastAsia="en-US"/>
        </w:rPr>
        <w:t xml:space="preserve">получения документов</w:t>
      </w:r>
      <w:r>
        <w:rPr>
          <w:rFonts w:ascii="Segoe UI" w:hAnsi="Segoe UI" w:eastAsia="Calibri" w:cs="Segoe UI"/>
          <w:highlight w:val="none"/>
          <w:lang w:eastAsia="en-US"/>
        </w:rPr>
        <w:t xml:space="preserve">, </w:t>
      </w:r>
      <w:r>
        <w:rPr>
          <w:rFonts w:ascii="Segoe UI" w:hAnsi="Segoe UI" w:eastAsia="Calibri" w:cs="Segoe UI"/>
          <w:highlight w:val="none"/>
          <w:lang w:eastAsia="en-US"/>
        </w:rPr>
        <w:t xml:space="preserve">жители Петрозаводска могут воспользоваться услугой курьерской доставки</w:t>
      </w:r>
      <w:r>
        <w:rPr>
          <w:rFonts w:ascii="Segoe UI" w:hAnsi="Segoe UI" w:eastAsia="Calibri" w:cs="Segoe UI"/>
          <w:highlight w:val="none"/>
          <w:lang w:eastAsia="en-US"/>
        </w:rPr>
        <w:t xml:space="preserve"> (на платной основе). Дополнительную информацию можно получ</w:t>
      </w:r>
      <w:r>
        <w:rPr>
          <w:rFonts w:ascii="Segoe UI" w:hAnsi="Segoe UI" w:eastAsia="Calibri" w:cs="Segoe UI"/>
          <w:highlight w:val="none"/>
          <w:lang w:eastAsia="en-US"/>
        </w:rPr>
        <w:t xml:space="preserve">ить по телефону: 8 (8142) 71-73-47 (доб.1). 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  <w:t xml:space="preserve">Филиал ППК «Роскадастр» по Республике Карелия информирует, что для ветеранов и инвалидов Великой Отечественной войны, детей-инвалидов, инвалидов с детства I группы, а также инвалидов первой и второй групп услуга пр</w:t>
      </w:r>
      <w:r>
        <w:rPr>
          <w:rFonts w:ascii="Segoe UI" w:hAnsi="Segoe UI" w:eastAsia="Calibri" w:cs="Segoe UI"/>
          <w:highlight w:val="none"/>
          <w:lang w:eastAsia="en-US"/>
        </w:rPr>
        <w:t xml:space="preserve">едоставляется бесплатно.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4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4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4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4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4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914"/>
    <w:next w:val="914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914"/>
    <w:next w:val="914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14"/>
    <w:next w:val="914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14"/>
    <w:next w:val="91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14"/>
    <w:next w:val="914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14"/>
    <w:next w:val="91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14"/>
    <w:next w:val="914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14"/>
    <w:next w:val="914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14"/>
    <w:next w:val="914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numbering" w:styleId="863" w:default="1">
    <w:name w:val="No List"/>
    <w:uiPriority w:val="99"/>
    <w:semiHidden/>
    <w:unhideWhenUsed/>
    <w:pPr>
      <w:pBdr/>
      <w:spacing/>
      <w:ind/>
    </w:pPr>
  </w:style>
  <w:style w:type="character" w:styleId="864">
    <w:name w:val="Heading 1 Char"/>
    <w:basedOn w:val="862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862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862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862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86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86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862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86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86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4"/>
    <w:next w:val="914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86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4"/>
    <w:next w:val="914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86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4"/>
    <w:next w:val="914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86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9">
    <w:name w:val="List Paragraph"/>
    <w:basedOn w:val="914"/>
    <w:uiPriority w:val="34"/>
    <w:qFormat/>
    <w:pPr>
      <w:pBdr/>
      <w:spacing/>
      <w:ind w:left="720"/>
      <w:contextualSpacing w:val="true"/>
    </w:pPr>
  </w:style>
  <w:style w:type="character" w:styleId="880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4"/>
    <w:next w:val="914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862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0">
    <w:name w:val="Header"/>
    <w:basedOn w:val="914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>
    <w:name w:val="Header Char"/>
    <w:basedOn w:val="862"/>
    <w:link w:val="890"/>
    <w:uiPriority w:val="99"/>
    <w:pPr>
      <w:pBdr/>
      <w:spacing/>
      <w:ind/>
    </w:pPr>
  </w:style>
  <w:style w:type="paragraph" w:styleId="892">
    <w:name w:val="Footer"/>
    <w:basedOn w:val="914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Footer Char"/>
    <w:basedOn w:val="862"/>
    <w:link w:val="892"/>
    <w:uiPriority w:val="99"/>
    <w:pPr>
      <w:pBdr/>
      <w:spacing/>
      <w:ind/>
    </w:pPr>
  </w:style>
  <w:style w:type="paragraph" w:styleId="894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5">
    <w:name w:val="footnote text"/>
    <w:basedOn w:val="914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86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4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862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2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4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5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6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7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8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9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10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1">
    <w:name w:val="toc 9"/>
    <w:basedOn w:val="914"/>
    <w:next w:val="914"/>
    <w:uiPriority w:val="39"/>
    <w:unhideWhenUsed/>
    <w:pPr>
      <w:pBdr/>
      <w:spacing w:after="100"/>
      <w:ind w:left="1760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next w:val="914"/>
    <w:link w:val="914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5">
    <w:name w:val="Основной шрифт абзаца"/>
    <w:next w:val="915"/>
    <w:link w:val="914"/>
    <w:uiPriority w:val="1"/>
    <w:unhideWhenUsed/>
    <w:pPr>
      <w:pBdr/>
      <w:spacing/>
      <w:ind/>
    </w:pPr>
  </w:style>
  <w:style w:type="table" w:styleId="916">
    <w:name w:val="Обычная таблица"/>
    <w:next w:val="916"/>
    <w:link w:val="914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>
    <w:name w:val="Нет списка"/>
    <w:next w:val="917"/>
    <w:link w:val="914"/>
    <w:uiPriority w:val="99"/>
    <w:semiHidden/>
    <w:unhideWhenUsed/>
    <w:pPr>
      <w:pBdr/>
      <w:spacing/>
      <w:ind/>
    </w:pPr>
  </w:style>
  <w:style w:type="paragraph" w:styleId="918">
    <w:name w:val="Верхний колонтитул"/>
    <w:basedOn w:val="914"/>
    <w:next w:val="918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19">
    <w:name w:val="Верхний колонтитул Знак"/>
    <w:basedOn w:val="915"/>
    <w:next w:val="919"/>
    <w:link w:val="918"/>
    <w:uiPriority w:val="99"/>
    <w:pPr>
      <w:pBdr/>
      <w:spacing/>
      <w:ind/>
    </w:pPr>
  </w:style>
  <w:style w:type="paragraph" w:styleId="920">
    <w:name w:val="Нижний колонтитул"/>
    <w:basedOn w:val="914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1">
    <w:name w:val="Нижний колонтитул Знак"/>
    <w:basedOn w:val="915"/>
    <w:next w:val="921"/>
    <w:link w:val="920"/>
    <w:uiPriority w:val="99"/>
    <w:pPr>
      <w:pBdr/>
      <w:spacing/>
      <w:ind/>
    </w:pPr>
  </w:style>
  <w:style w:type="paragraph" w:styleId="922">
    <w:name w:val="Текст выноски"/>
    <w:basedOn w:val="914"/>
    <w:next w:val="922"/>
    <w:link w:val="923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3">
    <w:name w:val="Текст выноски Знак"/>
    <w:next w:val="923"/>
    <w:link w:val="92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4">
    <w:name w:val="ConsPlusNormal"/>
    <w:next w:val="924"/>
    <w:link w:val="914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5">
    <w:name w:val="Гиперссылка"/>
    <w:next w:val="925"/>
    <w:link w:val="914"/>
    <w:pPr>
      <w:pBdr/>
      <w:spacing/>
      <w:ind/>
    </w:pPr>
    <w:rPr>
      <w:color w:val="0000ff"/>
      <w:u w:val="single"/>
    </w:rPr>
  </w:style>
  <w:style w:type="paragraph" w:styleId="926">
    <w:name w:val="Абзац списка"/>
    <w:basedOn w:val="914"/>
    <w:next w:val="926"/>
    <w:link w:val="914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7">
    <w:name w:val="Текст"/>
    <w:basedOn w:val="914"/>
    <w:next w:val="927"/>
    <w:link w:val="928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28">
    <w:name w:val="Текст Знак"/>
    <w:next w:val="928"/>
    <w:link w:val="927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29">
    <w:name w:val="paragraph scxw163741632 bcx0"/>
    <w:basedOn w:val="914"/>
    <w:next w:val="929"/>
    <w:link w:val="914"/>
    <w:pPr>
      <w:pBdr/>
      <w:spacing w:after="100" w:afterAutospacing="1" w:before="100" w:beforeAutospacing="1"/>
      <w:ind/>
    </w:pPr>
  </w:style>
  <w:style w:type="character" w:styleId="930">
    <w:name w:val="Выделение"/>
    <w:next w:val="930"/>
    <w:link w:val="914"/>
    <w:uiPriority w:val="20"/>
    <w:qFormat/>
    <w:pPr>
      <w:pBdr/>
      <w:spacing/>
      <w:ind/>
    </w:pPr>
    <w:rPr>
      <w:i/>
      <w:iCs/>
    </w:rPr>
  </w:style>
  <w:style w:type="character" w:styleId="931">
    <w:name w:val="Интернет-ссылка"/>
    <w:next w:val="931"/>
    <w:link w:val="914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9</cp:revision>
  <dcterms:created xsi:type="dcterms:W3CDTF">2024-06-21T11:13:00Z</dcterms:created>
  <dcterms:modified xsi:type="dcterms:W3CDTF">2025-08-04T06:37:25Z</dcterms:modified>
  <cp:version>786432</cp:version>
</cp:coreProperties>
</file>