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2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</w:p>
    <w:p w:rsidR="00DF0D1B" w:rsidRPr="006927DE" w:rsidRDefault="00E76D02" w:rsidP="00E7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E">
        <w:rPr>
          <w:rFonts w:ascii="Times New Roman" w:hAnsi="Times New Roman" w:cs="Times New Roman"/>
          <w:b/>
          <w:sz w:val="24"/>
          <w:szCs w:val="24"/>
        </w:rPr>
        <w:t>администрации Гарнизон</w:t>
      </w:r>
      <w:r w:rsidR="002722CC">
        <w:rPr>
          <w:rFonts w:ascii="Times New Roman" w:hAnsi="Times New Roman" w:cs="Times New Roman"/>
          <w:b/>
          <w:sz w:val="24"/>
          <w:szCs w:val="24"/>
        </w:rPr>
        <w:t>ного сельского поселения за 2022</w:t>
      </w:r>
      <w:r w:rsidRPr="006927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0357" w:type="dxa"/>
        <w:tblLook w:val="04A0" w:firstRow="1" w:lastRow="0" w:firstColumn="1" w:lastColumn="0" w:noHBand="0" w:noVBand="1"/>
      </w:tblPr>
      <w:tblGrid>
        <w:gridCol w:w="736"/>
        <w:gridCol w:w="6176"/>
        <w:gridCol w:w="1417"/>
        <w:gridCol w:w="2028"/>
      </w:tblGrid>
      <w:tr w:rsidR="00E76D02" w:rsidTr="00EF3899">
        <w:tc>
          <w:tcPr>
            <w:tcW w:w="73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6176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НПА</w:t>
            </w:r>
          </w:p>
        </w:tc>
        <w:tc>
          <w:tcPr>
            <w:tcW w:w="1417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8" w:type="dxa"/>
            <w:vAlign w:val="center"/>
          </w:tcPr>
          <w:p w:rsidR="00E76D02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E76D02" w:rsidRPr="002722CC" w:rsidTr="00EF3899">
        <w:tc>
          <w:tcPr>
            <w:tcW w:w="736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E76D02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размера авансовых платежей </w:t>
            </w:r>
            <w:r w:rsidRPr="00272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E76D02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2028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Постановление, </w:t>
            </w:r>
            <w:r w:rsidR="002722CC" w:rsidRPr="002722C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76D02" w:rsidRPr="002722CC" w:rsidTr="00EF3899">
        <w:tc>
          <w:tcPr>
            <w:tcW w:w="736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6" w:type="dxa"/>
            <w:vAlign w:val="center"/>
          </w:tcPr>
          <w:p w:rsidR="002722CC" w:rsidRPr="002722CC" w:rsidRDefault="002722CC" w:rsidP="002722CC">
            <w:pPr>
              <w:shd w:val="clear" w:color="auto" w:fill="FFFFFF"/>
              <w:tabs>
                <w:tab w:val="left" w:pos="6804"/>
              </w:tabs>
              <w:spacing w:line="240" w:lineRule="atLeast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</w:t>
            </w:r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признании </w:t>
            </w:r>
            <w:proofErr w:type="gramStart"/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утратившими</w:t>
            </w:r>
            <w:proofErr w:type="gramEnd"/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силу Постановлений  </w:t>
            </w:r>
          </w:p>
          <w:p w:rsidR="00E76D02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</w:t>
            </w:r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E76D02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2028" w:type="dxa"/>
            <w:vAlign w:val="center"/>
          </w:tcPr>
          <w:p w:rsidR="00E76D02" w:rsidRPr="002722CC" w:rsidRDefault="00E76D02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RPr="002722CC" w:rsidTr="00EF3899">
        <w:tc>
          <w:tcPr>
            <w:tcW w:w="736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vAlign w:val="center"/>
          </w:tcPr>
          <w:p w:rsidR="00E76D02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утверждении Порядка предоставления в прокуратуру </w:t>
            </w:r>
            <w:proofErr w:type="spellStart"/>
            <w:r w:rsidRPr="00272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Прионежского</w:t>
            </w:r>
            <w:proofErr w:type="spellEnd"/>
            <w:r w:rsidRPr="00272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муниципальных правовых актов и проектов муниципальных правовых актов органов местного самоуправления Гарнизонного сельского поселения для проведения правовой и антикоррупционной экспертизы</w:t>
            </w:r>
          </w:p>
        </w:tc>
        <w:tc>
          <w:tcPr>
            <w:tcW w:w="1417" w:type="dxa"/>
            <w:vAlign w:val="center"/>
          </w:tcPr>
          <w:p w:rsidR="00E76D02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028" w:type="dxa"/>
            <w:vAlign w:val="center"/>
          </w:tcPr>
          <w:p w:rsidR="00E76D02" w:rsidRPr="002722CC" w:rsidRDefault="00E76D02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Постановление, действует</w:t>
            </w:r>
          </w:p>
        </w:tc>
      </w:tr>
      <w:tr w:rsidR="00E76D02" w:rsidRPr="002722CC" w:rsidTr="00EF3899">
        <w:tc>
          <w:tcPr>
            <w:tcW w:w="736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E76D02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правовых актов Гарнизонного сельского поселения о местных налогах и сборах</w:t>
            </w:r>
          </w:p>
        </w:tc>
        <w:tc>
          <w:tcPr>
            <w:tcW w:w="1417" w:type="dxa"/>
            <w:vAlign w:val="center"/>
          </w:tcPr>
          <w:p w:rsidR="00E76D02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028" w:type="dxa"/>
            <w:vAlign w:val="center"/>
          </w:tcPr>
          <w:p w:rsidR="00E76D02" w:rsidRPr="002722CC" w:rsidRDefault="00E76D02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2722CC" w:rsidRPr="002722CC" w:rsidTr="00EF3899">
        <w:tc>
          <w:tcPr>
            <w:tcW w:w="736" w:type="dxa"/>
            <w:vAlign w:val="center"/>
          </w:tcPr>
          <w:p w:rsidR="00EF3899" w:rsidRPr="002722CC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2722CC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2028" w:type="dxa"/>
            <w:vAlign w:val="center"/>
          </w:tcPr>
          <w:p w:rsidR="00EF3899" w:rsidRPr="002722CC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2722CC" w:rsidTr="00EF3899">
        <w:tc>
          <w:tcPr>
            <w:tcW w:w="736" w:type="dxa"/>
            <w:vAlign w:val="center"/>
          </w:tcPr>
          <w:p w:rsidR="00EF3899" w:rsidRPr="002722CC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объектам адресации, расположенным за пределами населенных пунктов,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028" w:type="dxa"/>
            <w:vAlign w:val="center"/>
          </w:tcPr>
          <w:p w:rsidR="00EF3899" w:rsidRPr="002722CC" w:rsidRDefault="002722CC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F3899" w:rsidRPr="002722CC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EF3899" w:rsidRPr="002722CC" w:rsidTr="00EF3899">
        <w:tc>
          <w:tcPr>
            <w:tcW w:w="736" w:type="dxa"/>
            <w:vAlign w:val="center"/>
          </w:tcPr>
          <w:p w:rsidR="00EF3899" w:rsidRPr="002722CC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размера авансовых платежей </w:t>
            </w:r>
            <w:r w:rsidRPr="002722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2028" w:type="dxa"/>
            <w:vAlign w:val="center"/>
          </w:tcPr>
          <w:p w:rsidR="00EF3899" w:rsidRPr="002722CC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2722CC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EF3899" w:rsidRPr="00EF3899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2722CC" w:rsidTr="00EF3899">
        <w:tc>
          <w:tcPr>
            <w:tcW w:w="736" w:type="dxa"/>
            <w:vAlign w:val="center"/>
          </w:tcPr>
          <w:p w:rsidR="00EF3899" w:rsidRPr="002722CC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оздоровления муниципальных финансов (оптимизации расходов) Гарнизонного сельского поселения на период 2022-2024 годы</w:t>
            </w:r>
          </w:p>
        </w:tc>
        <w:tc>
          <w:tcPr>
            <w:tcW w:w="1417" w:type="dxa"/>
            <w:vAlign w:val="center"/>
          </w:tcPr>
          <w:p w:rsidR="00EF3899" w:rsidRPr="002722CC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2028" w:type="dxa"/>
            <w:vAlign w:val="center"/>
          </w:tcPr>
          <w:p w:rsidR="00EF3899" w:rsidRPr="002722CC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EF3899" w:rsidTr="00EF3899">
        <w:tc>
          <w:tcPr>
            <w:tcW w:w="736" w:type="dxa"/>
            <w:vAlign w:val="center"/>
          </w:tcPr>
          <w:p w:rsidR="00EF3899" w:rsidRPr="00EF3899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6" w:type="dxa"/>
            <w:vAlign w:val="center"/>
          </w:tcPr>
          <w:p w:rsidR="00EF3899" w:rsidRPr="002722CC" w:rsidRDefault="002722CC" w:rsidP="0027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2CC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2722CC">
              <w:rPr>
                <w:rFonts w:ascii="Times New Roman" w:hAnsi="Times New Roman"/>
                <w:sz w:val="24"/>
                <w:szCs w:val="24"/>
              </w:rPr>
              <w:t xml:space="preserve">«Единый сервисный центр» </w:t>
            </w:r>
            <w:r w:rsidRPr="002722C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EF3899" w:rsidRPr="00EF3899" w:rsidRDefault="002722CC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09.06.2022</w:t>
            </w:r>
          </w:p>
        </w:tc>
        <w:tc>
          <w:tcPr>
            <w:tcW w:w="2028" w:type="dxa"/>
            <w:vAlign w:val="center"/>
          </w:tcPr>
          <w:p w:rsidR="00EF3899" w:rsidRPr="00EF3899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99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RPr="008B14B0" w:rsidTr="00EF3899">
        <w:tc>
          <w:tcPr>
            <w:tcW w:w="736" w:type="dxa"/>
            <w:vAlign w:val="center"/>
          </w:tcPr>
          <w:p w:rsidR="00EF3899" w:rsidRPr="008B14B0" w:rsidRDefault="002722CC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F3899" w:rsidRPr="008B1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6" w:type="dxa"/>
            <w:vAlign w:val="center"/>
          </w:tcPr>
          <w:p w:rsidR="00EF3899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Порядка</w:t>
            </w:r>
            <w:hyperlink r:id="rId5" w:anchor="P42" w:history="1">
              <w:r w:rsidRPr="008B14B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 и условий</w:t>
              </w:r>
            </w:hyperlink>
            <w:r w:rsidRPr="008B1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предоставления в аренду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находящегося в муниципальной собственности Гарнизонного сельского поселения </w:t>
            </w:r>
            <w:proofErr w:type="spellStart"/>
            <w:r w:rsidRPr="008B1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8B1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района, предназначенного для предоставления в пользование субъектам малого и среднего предпринимательства, организациям, образующим инфраструктуру поддержки субъектов малого и среднего</w:t>
            </w:r>
            <w:proofErr w:type="gramEnd"/>
            <w:r w:rsidRPr="008B14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предпринимательства и физическим лицам, применяющим специальный налоговый режим «</w:t>
            </w:r>
            <w:hyperlink r:id="rId6" w:anchor="/document/72113648/entry/0" w:history="1">
              <w:r w:rsidRPr="008B14B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Налог на профессиональный доход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EF3899" w:rsidRPr="008B14B0" w:rsidRDefault="008B14B0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2028" w:type="dxa"/>
            <w:vAlign w:val="center"/>
          </w:tcPr>
          <w:p w:rsidR="00EF3899" w:rsidRPr="008B14B0" w:rsidRDefault="00EF3899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EF3899" w:rsidRPr="008B14B0" w:rsidTr="00EF3899">
        <w:tc>
          <w:tcPr>
            <w:tcW w:w="736" w:type="dxa"/>
            <w:vAlign w:val="center"/>
          </w:tcPr>
          <w:p w:rsidR="00EF3899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6" w:type="dxa"/>
            <w:vAlign w:val="center"/>
          </w:tcPr>
          <w:p w:rsidR="00EF3899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</w:t>
            </w:r>
            <w:proofErr w:type="gramStart"/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proofErr w:type="gramEnd"/>
            <w:r w:rsidRPr="008B14B0">
              <w:rPr>
                <w:rFonts w:ascii="Times New Roman" w:hAnsi="Times New Roman" w:cs="Times New Roman"/>
                <w:sz w:val="24"/>
                <w:szCs w:val="24"/>
              </w:rPr>
              <w:t xml:space="preserve"> 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EF3899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2028" w:type="dxa"/>
            <w:vAlign w:val="center"/>
          </w:tcPr>
          <w:p w:rsidR="00EF3899" w:rsidRPr="008B14B0" w:rsidRDefault="00EF3899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8B14B0" w:rsidTr="00EF3899">
        <w:tc>
          <w:tcPr>
            <w:tcW w:w="736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6" w:type="dxa"/>
            <w:vAlign w:val="center"/>
          </w:tcPr>
          <w:p w:rsidR="00C514F3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bCs/>
                <w:sz w:val="24"/>
                <w:szCs w:val="24"/>
              </w:rPr>
              <w:t>О присвоении адреса объекту адресации, расположенному за пределами населенных пунктов на земельном участке с кадастровым номером 10:20:0015519:744, не имеющему кадастрового номера, и внесении сведений в Государственный адресный реестр</w:t>
            </w:r>
          </w:p>
        </w:tc>
        <w:tc>
          <w:tcPr>
            <w:tcW w:w="1417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2028" w:type="dxa"/>
            <w:vAlign w:val="center"/>
          </w:tcPr>
          <w:p w:rsidR="00C514F3" w:rsidRPr="008B14B0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EF3899" w:rsidRPr="00C514F3" w:rsidTr="00EF3899">
        <w:tc>
          <w:tcPr>
            <w:tcW w:w="736" w:type="dxa"/>
            <w:vAlign w:val="center"/>
          </w:tcPr>
          <w:p w:rsidR="00EF3899" w:rsidRPr="00C514F3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6" w:type="dxa"/>
            <w:vAlign w:val="center"/>
          </w:tcPr>
          <w:p w:rsidR="00EF3899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EF3899" w:rsidRPr="00C514F3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2028" w:type="dxa"/>
            <w:vAlign w:val="center"/>
          </w:tcPr>
          <w:p w:rsidR="00EF3899" w:rsidRPr="00C514F3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8B14B0" w:rsidTr="00EF3899">
        <w:tc>
          <w:tcPr>
            <w:tcW w:w="736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6" w:type="dxa"/>
            <w:vAlign w:val="center"/>
          </w:tcPr>
          <w:p w:rsidR="00C514F3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сводную бюджетную роспись бюджета Гарнизонного сельского поселения на 2022 год</w:t>
            </w:r>
          </w:p>
        </w:tc>
        <w:tc>
          <w:tcPr>
            <w:tcW w:w="1417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2028" w:type="dxa"/>
            <w:vAlign w:val="center"/>
          </w:tcPr>
          <w:p w:rsidR="00C514F3" w:rsidRPr="008B14B0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6" w:type="dxa"/>
            <w:vAlign w:val="center"/>
          </w:tcPr>
          <w:p w:rsidR="00C514F3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8B14B0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C514F3" w:rsidRPr="00C514F3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09.08.2022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8B14B0" w:rsidTr="00EF3899">
        <w:tc>
          <w:tcPr>
            <w:tcW w:w="736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6" w:type="dxa"/>
            <w:vAlign w:val="center"/>
          </w:tcPr>
          <w:p w:rsidR="00C514F3" w:rsidRPr="008B14B0" w:rsidRDefault="008B14B0" w:rsidP="008B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установлении и исполнении расходных обязательств Гарнизонного сельского поселения, подлежащих исполнению за счет средств иных межбюджетных трансфертов из бюджета Республики Карелия бюджетам муниципальных образований на поощрение за достижение </w:t>
            </w:r>
            <w:proofErr w:type="gramStart"/>
            <w:r w:rsidRPr="008B14B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деятельности органов исполнительной власти субъектов </w:t>
            </w:r>
            <w:r w:rsidRPr="008B1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</w:t>
            </w:r>
            <w:proofErr w:type="gramEnd"/>
            <w:r w:rsidRPr="008B14B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на 2022 год</w:t>
            </w:r>
          </w:p>
        </w:tc>
        <w:tc>
          <w:tcPr>
            <w:tcW w:w="1417" w:type="dxa"/>
            <w:vAlign w:val="center"/>
          </w:tcPr>
          <w:p w:rsidR="00C514F3" w:rsidRPr="008B14B0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30.08.2022</w:t>
            </w:r>
          </w:p>
        </w:tc>
        <w:tc>
          <w:tcPr>
            <w:tcW w:w="2028" w:type="dxa"/>
            <w:vAlign w:val="center"/>
          </w:tcPr>
          <w:p w:rsidR="00C514F3" w:rsidRPr="008B14B0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4B0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C514F3" w:rsidRPr="0012575D" w:rsidTr="00EF3899">
        <w:tc>
          <w:tcPr>
            <w:tcW w:w="736" w:type="dxa"/>
            <w:vAlign w:val="center"/>
          </w:tcPr>
          <w:p w:rsidR="00C514F3" w:rsidRPr="0012575D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76" w:type="dxa"/>
            <w:vAlign w:val="center"/>
          </w:tcPr>
          <w:p w:rsidR="00C514F3" w:rsidRPr="0012575D" w:rsidRDefault="008B14B0" w:rsidP="001257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«Пред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ставление разрешения на осуществление земляных работ</w:t>
            </w:r>
          </w:p>
        </w:tc>
        <w:tc>
          <w:tcPr>
            <w:tcW w:w="1417" w:type="dxa"/>
            <w:vAlign w:val="center"/>
          </w:tcPr>
          <w:p w:rsidR="00C514F3" w:rsidRPr="0012575D" w:rsidRDefault="008B14B0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 w:rsidR="0012575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28" w:type="dxa"/>
            <w:vAlign w:val="center"/>
          </w:tcPr>
          <w:p w:rsidR="00C514F3" w:rsidRPr="0012575D" w:rsidRDefault="0012575D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514F3" w:rsidRPr="0012575D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  <w:proofErr w:type="spellEnd"/>
          </w:p>
        </w:tc>
      </w:tr>
      <w:tr w:rsidR="00C514F3" w:rsidRPr="00C514F3" w:rsidTr="00EF3899">
        <w:tc>
          <w:tcPr>
            <w:tcW w:w="736" w:type="dxa"/>
            <w:vAlign w:val="center"/>
          </w:tcPr>
          <w:p w:rsidR="00C514F3" w:rsidRPr="00C514F3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6" w:type="dxa"/>
            <w:vAlign w:val="center"/>
          </w:tcPr>
          <w:p w:rsidR="00C514F3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 внесении изменений и дополнений в постановление администрации Гарнизонного сельского поселения от 06.12.2021г. №22 «О ликвидации Муниципального  автономного учреждения </w:t>
            </w:r>
            <w:r w:rsidRPr="0012575D">
              <w:rPr>
                <w:rFonts w:ascii="Times New Roman" w:hAnsi="Times New Roman"/>
                <w:sz w:val="24"/>
                <w:szCs w:val="24"/>
              </w:rPr>
              <w:t>«Единый сервисный центр» муниципального образования «Гарнизонное сельское поселение</w:t>
            </w:r>
          </w:p>
        </w:tc>
        <w:tc>
          <w:tcPr>
            <w:tcW w:w="1417" w:type="dxa"/>
            <w:vAlign w:val="center"/>
          </w:tcPr>
          <w:p w:rsidR="00C514F3" w:rsidRPr="00C514F3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2028" w:type="dxa"/>
            <w:vAlign w:val="center"/>
          </w:tcPr>
          <w:p w:rsidR="00C514F3" w:rsidRPr="00C514F3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4F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EF3899" w:rsidTr="00EF3899">
        <w:tc>
          <w:tcPr>
            <w:tcW w:w="736" w:type="dxa"/>
            <w:vAlign w:val="center"/>
          </w:tcPr>
          <w:p w:rsidR="00EF3899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6" w:type="dxa"/>
            <w:vAlign w:val="center"/>
          </w:tcPr>
          <w:p w:rsidR="00EF3899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  <w:t>О внесении изменений и дополнений в постановление администрации Гарнизонного сельского поселения от 06.09.2022г. №18 «</w:t>
            </w:r>
            <w:r w:rsidRPr="0012575D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12575D">
              <w:rPr>
                <w:rFonts w:ascii="Times New Roman" w:hAnsi="Times New Roman"/>
                <w:sz w:val="24"/>
                <w:szCs w:val="24"/>
              </w:rPr>
              <w:t>«Пред</w:t>
            </w:r>
            <w:r w:rsidRPr="0012575D">
              <w:rPr>
                <w:rFonts w:ascii="Times New Roman" w:hAnsi="Times New Roman"/>
                <w:sz w:val="24"/>
                <w:szCs w:val="24"/>
              </w:rPr>
              <w:t>о</w:t>
            </w:r>
            <w:r w:rsidRPr="0012575D">
              <w:rPr>
                <w:rFonts w:ascii="Times New Roman" w:hAnsi="Times New Roman"/>
                <w:sz w:val="24"/>
                <w:szCs w:val="24"/>
              </w:rPr>
              <w:t>ставление разрешения на осуществление земляных работ</w:t>
            </w:r>
          </w:p>
        </w:tc>
        <w:tc>
          <w:tcPr>
            <w:tcW w:w="1417" w:type="dxa"/>
            <w:vAlign w:val="center"/>
          </w:tcPr>
          <w:p w:rsidR="00EF3899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2028" w:type="dxa"/>
            <w:vAlign w:val="center"/>
          </w:tcPr>
          <w:p w:rsidR="00EF3899" w:rsidRDefault="00C514F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12575D" w:rsidTr="00EF3899">
        <w:tc>
          <w:tcPr>
            <w:tcW w:w="736" w:type="dxa"/>
            <w:vAlign w:val="center"/>
          </w:tcPr>
          <w:p w:rsidR="00C514F3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6" w:type="dxa"/>
            <w:vAlign w:val="center"/>
          </w:tcPr>
          <w:p w:rsidR="00C514F3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Постановления Админ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страции Гарнизонного сельского поселения от 12.09.2015 года №26 «</w:t>
            </w:r>
            <w:r w:rsidRPr="0012575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</w:t>
            </w:r>
            <w:r w:rsidRPr="0012575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25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регламента   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 «Предоставление и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формации об объектах культурного наследия регионального или местного значения, находящихся на территории Гарнизонного сельского поселения и включенных в список объектов культурн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го наследия</w:t>
            </w:r>
          </w:p>
        </w:tc>
        <w:tc>
          <w:tcPr>
            <w:tcW w:w="1417" w:type="dxa"/>
            <w:vAlign w:val="center"/>
          </w:tcPr>
          <w:p w:rsidR="00C514F3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2028" w:type="dxa"/>
            <w:vAlign w:val="center"/>
          </w:tcPr>
          <w:p w:rsidR="00C514F3" w:rsidRPr="0012575D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C514F3" w:rsidRPr="0012575D" w:rsidTr="00EF3899">
        <w:tc>
          <w:tcPr>
            <w:tcW w:w="736" w:type="dxa"/>
            <w:vAlign w:val="center"/>
          </w:tcPr>
          <w:p w:rsidR="00C514F3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6" w:type="dxa"/>
            <w:vAlign w:val="center"/>
          </w:tcPr>
          <w:p w:rsidR="00C514F3" w:rsidRPr="0012575D" w:rsidRDefault="0012575D" w:rsidP="001257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постановление Администрации Гарнизонного сельского поселения от 11.04.2022г. №7 «</w:t>
            </w:r>
            <w:r w:rsidRPr="001257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размера авансовых платежей 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C514F3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028" w:type="dxa"/>
            <w:vAlign w:val="center"/>
          </w:tcPr>
          <w:p w:rsidR="00C514F3" w:rsidRPr="0012575D" w:rsidRDefault="00C514F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12575D" w:rsidRPr="0012575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6927DE" w:rsidRPr="0012575D" w:rsidTr="00EF3899">
        <w:tc>
          <w:tcPr>
            <w:tcW w:w="736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6" w:type="dxa"/>
            <w:vAlign w:val="center"/>
          </w:tcPr>
          <w:p w:rsidR="006927DE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сводную бюджетную роспись бюджета Гарнизонного сельского поселения на 2022 год</w:t>
            </w:r>
          </w:p>
        </w:tc>
        <w:tc>
          <w:tcPr>
            <w:tcW w:w="1417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2028" w:type="dxa"/>
            <w:vAlign w:val="center"/>
          </w:tcPr>
          <w:p w:rsidR="006927DE" w:rsidRPr="0012575D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12575D" w:rsidTr="00EF3899">
        <w:tc>
          <w:tcPr>
            <w:tcW w:w="736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76" w:type="dxa"/>
            <w:vAlign w:val="center"/>
          </w:tcPr>
          <w:p w:rsidR="006927DE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2028" w:type="dxa"/>
            <w:vAlign w:val="center"/>
          </w:tcPr>
          <w:p w:rsidR="006927DE" w:rsidRPr="0012575D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6927DE" w:rsidRPr="0012575D" w:rsidTr="00EF3899">
        <w:tc>
          <w:tcPr>
            <w:tcW w:w="736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6" w:type="dxa"/>
            <w:vAlign w:val="center"/>
          </w:tcPr>
          <w:p w:rsidR="006927DE" w:rsidRPr="0012575D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Постановления администрации Гарнизонного сельского поселения от 20.10.2022г. №24 «Об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6927DE" w:rsidRPr="0012575D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6927DE" w:rsidRPr="0012575D" w:rsidRDefault="0012575D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6927DE" w:rsidRPr="0012575D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12575D" w:rsidRPr="006927DE" w:rsidTr="00EF3899">
        <w:tc>
          <w:tcPr>
            <w:tcW w:w="736" w:type="dxa"/>
            <w:vAlign w:val="center"/>
          </w:tcPr>
          <w:p w:rsidR="0012575D" w:rsidRPr="006927DE" w:rsidRDefault="0012575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6" w:type="dxa"/>
            <w:vAlign w:val="center"/>
          </w:tcPr>
          <w:p w:rsidR="0012575D" w:rsidRPr="006927DE" w:rsidRDefault="0012575D" w:rsidP="0012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1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составления и ведения  кассового плана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Гарнизонного сельского поселения на 2023</w:t>
            </w:r>
            <w:r w:rsidRPr="00B0441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12575D" w:rsidRPr="0012575D" w:rsidRDefault="0012575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12575D" w:rsidRPr="0012575D" w:rsidRDefault="0012575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2575D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Бюджета Гарнизонного сельского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оселения за 1 квартал 2022 года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Гарнизонного сельского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оселения за 1 полугодие 2022 года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 xml:space="preserve">Бюджета Гарнизонного сельского 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оселения за 9 месяцев 2022 года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«Присвоение адреса объекту адресации, изменение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br/>
              <w:t>и аннулирование такого адреса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C2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составления</w:t>
            </w:r>
          </w:p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и ведения сводной  бюджетной росписи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завершения операций по исполнению бюджета Гарнизонного сельского поселения в текущем финансовом году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Постановление не действует</w:t>
            </w:r>
          </w:p>
        </w:tc>
      </w:tr>
      <w:tr w:rsidR="007F6F43" w:rsidRPr="007F6F43" w:rsidTr="00EF3899">
        <w:tc>
          <w:tcPr>
            <w:tcW w:w="736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6" w:type="dxa"/>
            <w:vAlign w:val="center"/>
          </w:tcPr>
          <w:p w:rsidR="007F6F43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муниципальных услуг, предоставляемых органами местного самоупра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ления Гарнизонного сельского п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417" w:type="dxa"/>
            <w:vAlign w:val="center"/>
          </w:tcPr>
          <w:p w:rsidR="007F6F43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2028" w:type="dxa"/>
            <w:vAlign w:val="center"/>
          </w:tcPr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7F6F43" w:rsidRPr="007F6F43" w:rsidRDefault="007F6F43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6927DE" w:rsidRPr="007F6F43" w:rsidTr="00EF3899">
        <w:tc>
          <w:tcPr>
            <w:tcW w:w="736" w:type="dxa"/>
            <w:vAlign w:val="center"/>
          </w:tcPr>
          <w:p w:rsidR="006927DE" w:rsidRPr="007F6F43" w:rsidRDefault="007F6F43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6" w:type="dxa"/>
            <w:vAlign w:val="center"/>
          </w:tcPr>
          <w:p w:rsidR="006927DE" w:rsidRPr="007F6F43" w:rsidRDefault="007F6F43" w:rsidP="007F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направлений бюджетной и налоговой политики Гарнизонного сельского поселения на 2023 год и плановый период 2024-2025 годов</w:t>
            </w:r>
          </w:p>
        </w:tc>
        <w:tc>
          <w:tcPr>
            <w:tcW w:w="1417" w:type="dxa"/>
            <w:vAlign w:val="center"/>
          </w:tcPr>
          <w:p w:rsidR="006927DE" w:rsidRPr="007F6F43" w:rsidRDefault="007F6F43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6927DE" w:rsidRPr="007F6F43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6927DE" w:rsidRPr="007F6F43" w:rsidRDefault="006927DE" w:rsidP="00E1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F43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CD2FAD" w:rsidRPr="00CD2FAD" w:rsidTr="00EF3899">
        <w:tc>
          <w:tcPr>
            <w:tcW w:w="736" w:type="dxa"/>
            <w:vAlign w:val="center"/>
          </w:tcPr>
          <w:p w:rsidR="00CD2FAD" w:rsidRPr="00CD2FAD" w:rsidRDefault="00CD2FA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6" w:type="dxa"/>
            <w:vAlign w:val="center"/>
          </w:tcPr>
          <w:p w:rsidR="00CD2FAD" w:rsidRPr="00CD2FAD" w:rsidRDefault="00CD2FAD" w:rsidP="00CD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Об утверждении среднесрочного финансового плана Гарнизонного сельского поселения  на 2023 год и плановый период 2024 и 2025 годов</w:t>
            </w:r>
          </w:p>
        </w:tc>
        <w:tc>
          <w:tcPr>
            <w:tcW w:w="1417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CD2FAD" w:rsidRPr="00CD2FAD" w:rsidTr="00EF3899">
        <w:tc>
          <w:tcPr>
            <w:tcW w:w="736" w:type="dxa"/>
            <w:vAlign w:val="center"/>
          </w:tcPr>
          <w:p w:rsidR="00CD2FAD" w:rsidRPr="00CD2FAD" w:rsidRDefault="00CD2FA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6" w:type="dxa"/>
            <w:vAlign w:val="center"/>
          </w:tcPr>
          <w:p w:rsidR="00CD2FAD" w:rsidRPr="00CD2FAD" w:rsidRDefault="00CD2FAD" w:rsidP="00CD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Прогноза основных характеристик бюджета Гарнизонного сельского поселения  на 2023 год и плановый период 2024 и 2025 годов</w:t>
            </w:r>
          </w:p>
        </w:tc>
        <w:tc>
          <w:tcPr>
            <w:tcW w:w="1417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  <w:tr w:rsidR="00CD2FAD" w:rsidRPr="00CD2FAD" w:rsidTr="00EF3899">
        <w:tc>
          <w:tcPr>
            <w:tcW w:w="736" w:type="dxa"/>
            <w:vAlign w:val="center"/>
          </w:tcPr>
          <w:p w:rsidR="00CD2FAD" w:rsidRPr="00CD2FAD" w:rsidRDefault="00CD2FAD" w:rsidP="00E7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6" w:type="dxa"/>
            <w:vAlign w:val="center"/>
          </w:tcPr>
          <w:p w:rsidR="00CD2FAD" w:rsidRPr="00CD2FAD" w:rsidRDefault="00CD2FAD" w:rsidP="00CD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О создании общественной комиссии по рассмотрению предложений в проект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Гарнизонного сельского поселения</w:t>
            </w:r>
          </w:p>
        </w:tc>
        <w:tc>
          <w:tcPr>
            <w:tcW w:w="1417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028" w:type="dxa"/>
            <w:vAlign w:val="center"/>
          </w:tcPr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  <w:p w:rsidR="00CD2FAD" w:rsidRPr="00CD2FAD" w:rsidRDefault="00CD2FAD" w:rsidP="00C2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AD">
              <w:rPr>
                <w:rFonts w:ascii="Times New Roman" w:hAnsi="Times New Roman" w:cs="Times New Roman"/>
                <w:sz w:val="24"/>
                <w:szCs w:val="24"/>
              </w:rPr>
              <w:t>не действует</w:t>
            </w:r>
          </w:p>
        </w:tc>
      </w:tr>
    </w:tbl>
    <w:p w:rsidR="00E76D02" w:rsidRPr="00E76D02" w:rsidRDefault="00E76D02" w:rsidP="00E76D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D02" w:rsidRPr="00E76D02" w:rsidSect="00E76D02">
      <w:pgSz w:w="11906" w:h="16838" w:code="9"/>
      <w:pgMar w:top="113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92"/>
    <w:rsid w:val="0012575D"/>
    <w:rsid w:val="002722CC"/>
    <w:rsid w:val="004E3392"/>
    <w:rsid w:val="006927DE"/>
    <w:rsid w:val="007F6F43"/>
    <w:rsid w:val="008B14B0"/>
    <w:rsid w:val="00C002DD"/>
    <w:rsid w:val="00C514F3"/>
    <w:rsid w:val="00CD2FAD"/>
    <w:rsid w:val="00DF0D1B"/>
    <w:rsid w:val="00E76D02"/>
    <w:rsid w:val="00E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2722CC"/>
    <w:rPr>
      <w:b/>
      <w:color w:val="008000"/>
    </w:rPr>
  </w:style>
  <w:style w:type="paragraph" w:customStyle="1" w:styleId="a5">
    <w:name w:val="Знак"/>
    <w:basedOn w:val="a"/>
    <w:rsid w:val="002722CC"/>
    <w:pPr>
      <w:spacing w:after="160" w:line="240" w:lineRule="exact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6">
    <w:name w:val=" Знак"/>
    <w:basedOn w:val="a"/>
    <w:rsid w:val="007F6F4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2722CC"/>
    <w:rPr>
      <w:b/>
      <w:color w:val="008000"/>
    </w:rPr>
  </w:style>
  <w:style w:type="paragraph" w:customStyle="1" w:styleId="a5">
    <w:name w:val="Знак"/>
    <w:basedOn w:val="a"/>
    <w:rsid w:val="002722CC"/>
    <w:pPr>
      <w:spacing w:after="160" w:line="240" w:lineRule="exact"/>
      <w:jc w:val="both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6">
    <w:name w:val=" Знак"/>
    <w:basedOn w:val="a"/>
    <w:rsid w:val="007F6F4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muob.ru/aktualno/news/novosti-poseleniy/12468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2025-09-17T12:40:00Z</dcterms:created>
  <dcterms:modified xsi:type="dcterms:W3CDTF">2025-09-18T13:02:00Z</dcterms:modified>
</cp:coreProperties>
</file>