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</w:t>
      </w:r>
      <w:r>
        <w:rPr>
          <w:rFonts w:ascii="Segoe UI" w:hAnsi="Segoe UI" w:cs="Segoe UI"/>
          <w:b/>
          <w:sz w:val="32"/>
          <w:szCs w:val="32"/>
        </w:rPr>
        <w:t xml:space="preserve"> теме «</w:t>
      </w:r>
      <w:r>
        <w:rPr>
          <w:rFonts w:ascii="Segoe UI" w:hAnsi="Segoe UI" w:cs="Segoe UI"/>
          <w:b/>
          <w:sz w:val="32"/>
          <w:szCs w:val="32"/>
        </w:rPr>
        <w:t xml:space="preserve">Комплексные кадастровые работы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11 ноября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 выполнения комплексных кадастровых работ (ККР) федерального значения</w:t>
      </w:r>
      <w:r/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Комплексные кадастровые работы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3)</w:t>
      </w:r>
      <w:r/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6</cp:revision>
  <dcterms:created xsi:type="dcterms:W3CDTF">2024-06-25T11:58:00Z</dcterms:created>
  <dcterms:modified xsi:type="dcterms:W3CDTF">2025-10-01T07:06:01Z</dcterms:modified>
  <cp:version>786432</cp:version>
</cp:coreProperties>
</file>