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Карельский Росреестр: итоги очередного сезона обследований геодезических пунктов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Карельский Росреестр по результатам полевого сезона 2025 года обеспечил выполнение плана обследований геодезических пунктов. Всего за прошедший период было обследовано 88 пунктов государственной геодезической сети и 29 пунктов государственной нивелирной сет</w:t>
      </w:r>
      <w:r>
        <w:rPr>
          <w:rFonts w:ascii="Segoe UI" w:hAnsi="Segoe UI" w:cs="Segoe UI"/>
        </w:rPr>
        <w:t xml:space="preserve">и, что и в том, и в другом случае позволило перевыполнить плановые показатели.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Напомним, что полученные результаты обследований публикуются на Федеральном портале пространственных данных https://portal.fppd.cgkipd.ru/main) и в этой части обследование геодезических пунктов позволяет актуализировать размещенную информацию для дальнейшег</w:t>
      </w:r>
      <w:r>
        <w:rPr>
          <w:rFonts w:ascii="Segoe UI" w:hAnsi="Segoe UI" w:cs="Segoe UI"/>
        </w:rPr>
        <w:t xml:space="preserve">о использования специалистами в различных областях. 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Заместитель Карельского Росреестра Владимир Карвонен отметил, что мероприятия по обследованию геодезических пунктов на постоянной и системной основе были начаты с 2015 года. За прошедшие 10 лет такими мероприятиями были затронуты территории всех муниципаль</w:t>
      </w:r>
      <w:r>
        <w:rPr>
          <w:rFonts w:ascii="Segoe UI" w:hAnsi="Segoe UI" w:cs="Segoe UI"/>
        </w:rPr>
        <w:t xml:space="preserve">ных районов, городских и муниципальных округов Республики Карелия, при этом приоритетный выбор пунктов для обследования определялся исходя из экономической активности тех или иных территорий. За это время удалось в разы увеличить объемы проводимого обследов</w:t>
      </w:r>
      <w:r>
        <w:rPr>
          <w:rFonts w:ascii="Segoe UI" w:hAnsi="Segoe UI" w:cs="Segoe UI"/>
        </w:rPr>
        <w:t xml:space="preserve">ания, наработать огромный опыт по планированию, изучению исходной информации, построению маршрутов и непосредственному поиску геодезических пунктов.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Карельский Росреестр планирует продолжить практику регулярных обследований геодезических пунктов. Это позволит обеспечить долгосрочную сохранность геодезической инфраструктуры республики и удовлетворить растущие потребности в точных и надежных геопространст</w:t>
      </w:r>
      <w:r>
        <w:rPr>
          <w:rFonts w:ascii="Segoe UI" w:hAnsi="Segoe UI" w:cs="Segoe UI"/>
        </w:rPr>
        <w:t xml:space="preserve">венных данных.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77</cp:revision>
  <dcterms:created xsi:type="dcterms:W3CDTF">2023-06-13T09:29:00Z</dcterms:created>
  <dcterms:modified xsi:type="dcterms:W3CDTF">2025-12-02T11:30:45Z</dcterms:modified>
</cp:coreProperties>
</file>