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ind w:firstLine="0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Лесная амнистия</w:t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У</w:t>
      </w:r>
      <w:r>
        <w:rPr>
          <w:rFonts w:ascii="Segoe UI" w:hAnsi="Segoe UI" w:cs="Segoe UI"/>
        </w:rPr>
        <w:t xml:space="preserve">правление Росреестра по Республике Карелия (Управление) информирует о применении на территории региона норм федерального закона № 280-ФЗ от 29 июля 2017 года «О внесении поправок в некоторые законодательные акты Российской Федерации для устранения несоотве</w:t>
      </w:r>
      <w:r>
        <w:rPr>
          <w:rFonts w:ascii="Segoe UI" w:hAnsi="Segoe UI" w:cs="Segoe UI"/>
        </w:rPr>
        <w:t xml:space="preserve">тствий в данных госреестров и четкого определения принадлежности земли к конкретной категории» (Закон о «лесной амнистии»).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</w:t>
      </w:r>
      <w:r>
        <w:rPr>
          <w:rFonts w:ascii="Segoe UI" w:hAnsi="Segoe UI" w:cs="Segoe UI"/>
        </w:rPr>
        <w:t xml:space="preserve">анный закон призван устранить различия между сведениями, содержащимися в Едином государственном реестре недвижимости (ЕГРН) и государственном лесном реестре (ГЛР), в частности посредством механизмов, предусмотренных статьей 60.2 Федерального закона № 218-Ф</w:t>
      </w:r>
      <w:r>
        <w:rPr>
          <w:rFonts w:ascii="Segoe UI" w:hAnsi="Segoe UI" w:cs="Segoe UI"/>
        </w:rPr>
        <w:t xml:space="preserve">З от 13 июля 2015 года «О государственной регистрации недвижимости» (Закон о регистрации).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Мероприятия Управления по применению статьи 60.2 Закона о регистрации включают две группы действий: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</w:t>
        <w:tab/>
        <w:t xml:space="preserve">по заявлениям граждан: исправление ошибок в записях ЕГРН, связанных с наложением границ земельных участков на границы лесных участков и лесничеств;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</w:t>
        <w:tab/>
        <w:t xml:space="preserve">по инициативе органа регистрации: самостоятельное выявление и исправление ошибочных и дублирующих записей в ЕГРН, касающихся наложений границ лесных участков друг на друга или на земельные участки.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 начало действия Закона о «лесной амнистии» превышение площади лесных участков в ЕГРН над ГЛР в Карелии составляло 5,5 млн. га.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По состоянию на 1 декабря 2025 года статья 60.2 применена 2909 раз.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Из 2465 принятых решений: 1335 - положительно рассмотренные заявления граждан; 442 – случаи самостоятельного исправления органом ошибок в ЕГРН и ещё два случая по инициативе судебных органов.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Благодаря реализации норм Закона о «лесной амнистии» на сегодняшний день разница в показателях площадей лесных участков между ЕГРН и ГЛР сократилась до 0,09 млн. га.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У</w:t>
      </w:r>
      <w:r>
        <w:rPr>
          <w:rFonts w:ascii="Segoe UI" w:hAnsi="Segoe UI" w:cs="Segoe UI"/>
        </w:rPr>
        <w:t xml:space="preserve">правление обращает внимание на то, что цели норм «лесной амнистии» заключаются в обеспечении точной и актуальной информации о земельных и лесных ресурсах в обоих реестрах, повышении качества данных о границах лесничеств и населенных пунктов в ЕГРН, а также</w:t>
      </w:r>
      <w:r>
        <w:rPr>
          <w:rFonts w:ascii="Segoe UI" w:hAnsi="Segoe UI" w:cs="Segoe UI"/>
        </w:rPr>
        <w:t xml:space="preserve"> минимизации возникновения юридических споров и судебных исков.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85</cp:revision>
  <dcterms:created xsi:type="dcterms:W3CDTF">2023-06-13T09:29:00Z</dcterms:created>
  <dcterms:modified xsi:type="dcterms:W3CDTF">2025-12-25T06:08:52Z</dcterms:modified>
</cp:coreProperties>
</file>